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C37BD" w14:textId="77777777" w:rsidR="00141920" w:rsidRDefault="00141920" w:rsidP="009621F0">
      <w:pPr>
        <w:jc w:val="center"/>
        <w:rPr>
          <w:b/>
          <w:bCs/>
        </w:rPr>
      </w:pPr>
      <w:bookmarkStart w:id="0" w:name="_Hlk224397996"/>
    </w:p>
    <w:p w14:paraId="0BB94D97" w14:textId="7A82F90A" w:rsidR="009621F0" w:rsidRDefault="009621F0" w:rsidP="009621F0">
      <w:pPr>
        <w:jc w:val="center"/>
        <w:rPr>
          <w:b/>
          <w:bCs/>
        </w:rPr>
      </w:pPr>
      <w:r w:rsidRPr="00F94AEC">
        <w:rPr>
          <w:b/>
          <w:bCs/>
        </w:rPr>
        <w:t>ESG Strategy Implementation and Market Value of Firms Listed at the Nairobi Securities Exchange</w:t>
      </w:r>
      <w:r w:rsidR="00141920">
        <w:rPr>
          <w:b/>
          <w:bCs/>
        </w:rPr>
        <w:t>.</w:t>
      </w:r>
    </w:p>
    <w:p w14:paraId="40EF9C50" w14:textId="77777777" w:rsidR="00141920" w:rsidRDefault="00141920" w:rsidP="009621F0">
      <w:pPr>
        <w:jc w:val="center"/>
        <w:rPr>
          <w:b/>
          <w:bCs/>
        </w:rPr>
      </w:pPr>
    </w:p>
    <w:p w14:paraId="102AF01F" w14:textId="483A460A" w:rsidR="00F677C0" w:rsidRDefault="00F677C0" w:rsidP="00DA5DA5">
      <w:pPr>
        <w:pStyle w:val="Heading1"/>
      </w:pPr>
      <w:bookmarkStart w:id="1" w:name="_Toc224408875"/>
      <w:r>
        <w:t>Abstract</w:t>
      </w:r>
      <w:bookmarkEnd w:id="1"/>
    </w:p>
    <w:p w14:paraId="788F0AC7" w14:textId="5197BE2A" w:rsidR="00F677C0" w:rsidRPr="00F677C0" w:rsidRDefault="00F677C0" w:rsidP="00A443CF">
      <w:pPr>
        <w:spacing w:line="240" w:lineRule="auto"/>
      </w:pPr>
      <w:r w:rsidRPr="00F677C0">
        <w:t>This research paper focuses on how the implementation of the environmental, social and governance (ESG) strategies affects the market value of the Nairobi Securities Exchange (NSE) listed firms in the years 2022- 2024. Although there is increasing attention to ESG practices in the global context there is paucity of empirical data on the financial worth of such practices in emerging capital markets in Africa. The paper had three aims; to test the role of environmental reporting, social responsibility reporting, and governance reporting in the determinants of firm market value.  The research was based on post-positivist philosophy and descriptive research design, and used census approach where all the NSE-listed firms where data were available were used, where there were 166 observations (firm-years). Secondary data were obtained using published annual reports and databases of NSE market capitalisation. Descriptive statistics, a Pearson correlation and pooled OLS regression analysis were used to analyse data in Stata.  The highest mean disclosure score (0.734), was registered in governance reporting, then came social reporting (0.651), and environmental reporting (0.542). The total ESG mean increased gradually since 0.629 in 2022 to 0.656 in 2024. The regression findings also established that all the three ESG dimensions had significant and positive effects on market capitalisation. The strongest impact was on social reporting (</w:t>
      </w:r>
      <w:r w:rsidR="00A443CF">
        <w:rPr>
          <w:rFonts w:cs="Times New Roman"/>
        </w:rPr>
        <w:t>β</w:t>
      </w:r>
      <w:r w:rsidRPr="00F677C0">
        <w:t xml:space="preserve"> = 2.014, p = 0.001), then the environmental reporting (</w:t>
      </w:r>
      <w:r w:rsidR="00A443CF">
        <w:rPr>
          <w:rFonts w:cs="Times New Roman"/>
        </w:rPr>
        <w:t>β</w:t>
      </w:r>
      <w:r w:rsidRPr="00F677C0">
        <w:t xml:space="preserve"> = 1.987, p = 0.001) and the governance reporting (</w:t>
      </w:r>
      <w:r w:rsidR="00A443CF">
        <w:rPr>
          <w:rFonts w:cs="Times New Roman"/>
        </w:rPr>
        <w:t>β</w:t>
      </w:r>
      <w:r w:rsidR="00A443CF" w:rsidRPr="00F677C0">
        <w:t xml:space="preserve"> </w:t>
      </w:r>
      <w:r w:rsidRPr="00F677C0">
        <w:t>= 0.732, p = 0.032). The composite ESG model established a strong positive correlation (</w:t>
      </w:r>
      <w:r w:rsidR="00A443CF">
        <w:rPr>
          <w:rFonts w:cs="Times New Roman"/>
        </w:rPr>
        <w:t>β</w:t>
      </w:r>
      <w:r w:rsidRPr="00F677C0">
        <w:t xml:space="preserve"> = 5.084, p &lt; 0.001) that expounds about 26.1% of market capitalisation variability.  </w:t>
      </w:r>
      <w:r w:rsidR="00A443CF">
        <w:t>The</w:t>
      </w:r>
      <w:r w:rsidRPr="00F677C0">
        <w:t xml:space="preserve"> findings are consistent with the stakeholder theory, the signalling theory and the cost of capital theory, indicating that ESG transparency can decrease the information asymmetry and increase investor confidence. The research suggests that NSE-traded companies should enhance the practices of ESG reporting and regulators should endeavour to establish more transparent sustainability reporting frameworks to help companies create corporate values in the Kenyan capital market.</w:t>
      </w:r>
    </w:p>
    <w:p w14:paraId="230F82B2" w14:textId="77777777" w:rsidR="00A443CF" w:rsidRDefault="00A443CF" w:rsidP="00DA5DA5">
      <w:pPr>
        <w:pStyle w:val="Heading1"/>
        <w:sectPr w:rsidR="00A443CF" w:rsidSect="00AF6EE8">
          <w:footerReference w:type="default" r:id="rId8"/>
          <w:pgSz w:w="11906" w:h="16838"/>
          <w:pgMar w:top="1440" w:right="1440" w:bottom="1440" w:left="1440" w:header="708" w:footer="708" w:gutter="0"/>
          <w:pgNumType w:fmt="lowerRoman"/>
          <w:cols w:space="708"/>
          <w:titlePg/>
          <w:docGrid w:linePitch="360"/>
        </w:sectPr>
      </w:pPr>
    </w:p>
    <w:p w14:paraId="68226AA0" w14:textId="47407DE7" w:rsidR="00F94AEC" w:rsidRDefault="008E03D5" w:rsidP="00DA5DA5">
      <w:pPr>
        <w:pStyle w:val="Heading1"/>
      </w:pPr>
      <w:bookmarkStart w:id="2" w:name="_Toc224408876"/>
      <w:r>
        <w:lastRenderedPageBreak/>
        <w:t>Chapter One: Introduction</w:t>
      </w:r>
      <w:bookmarkEnd w:id="2"/>
    </w:p>
    <w:p w14:paraId="24F4CF20" w14:textId="47597969" w:rsidR="00DA5DA5" w:rsidRDefault="007C4F5C" w:rsidP="007C4F5C">
      <w:pPr>
        <w:pStyle w:val="Heading2"/>
        <w:numPr>
          <w:ilvl w:val="1"/>
          <w:numId w:val="5"/>
        </w:numPr>
      </w:pPr>
      <w:bookmarkStart w:id="3" w:name="_Toc224408877"/>
      <w:r>
        <w:t>Background of the Study</w:t>
      </w:r>
      <w:bookmarkEnd w:id="3"/>
    </w:p>
    <w:p w14:paraId="05FA59B3" w14:textId="42575BB4" w:rsidR="0058138D" w:rsidRDefault="0058138D" w:rsidP="0058138D">
      <w:r>
        <w:t>In corporate governance and financial market contexts, market value is a pertinent variable and prime objective for businesses. It represents the capacity of an organisation to build long-term shareholder wealth and maintain the confidence of investors in the capital markets. In corporate finance theory, maximisation of shareholder wealth is widely considered to be the primary objective of firms, as the maximisation of shareholder wealth aligns managerial decisions with the interests of investors who provide capital to the organisation (Bennett et al., 2022). Market value therefore serves as a vital metric to gauge the performance of a company since it reflects the market's collective evaluation of the future profitability, growth potential and risk exposure of a firm (</w:t>
      </w:r>
      <w:proofErr w:type="spellStart"/>
      <w:r>
        <w:t>Brogi</w:t>
      </w:r>
      <w:proofErr w:type="spellEnd"/>
      <w:r>
        <w:t xml:space="preserve"> &amp; </w:t>
      </w:r>
      <w:proofErr w:type="spellStart"/>
      <w:r>
        <w:t>Lagasio</w:t>
      </w:r>
      <w:proofErr w:type="spellEnd"/>
      <w:r>
        <w:t>, 20</w:t>
      </w:r>
      <w:r w:rsidR="003F17B5">
        <w:t>19</w:t>
      </w:r>
      <w:r>
        <w:t>). Investors usually base their judgement of the value of firms on observable market signals like share price performance and market capitalisation, which combine both short-term market responses and long-term expectations about the sustainability of each firm and the quality of its governance (Atan et al., 20</w:t>
      </w:r>
      <w:r w:rsidR="002145F9">
        <w:t>18</w:t>
      </w:r>
      <w:r>
        <w:t xml:space="preserve">). Share price appreciation is an indicator used to determine positive investor sentiment and performance expectations, while market capitalisation is a total value of all shares outstanding and used as a benchmark for comparing firm size and economic power within the capital market (Liang &amp; </w:t>
      </w:r>
      <w:proofErr w:type="spellStart"/>
      <w:r>
        <w:t>Renneboog</w:t>
      </w:r>
      <w:proofErr w:type="spellEnd"/>
      <w:r>
        <w:t>, 2022; Velte, 2023). Consequently, market value offers an integrated measure with which investors interpret organisational strategy, managerial effectiveness and long-term competitiveness in financial markets (Giese et al., 2021).</w:t>
      </w:r>
    </w:p>
    <w:p w14:paraId="704FD67C" w14:textId="5659DEF9" w:rsidR="0058138D" w:rsidRDefault="0058138D" w:rsidP="0058138D">
      <w:r>
        <w:t xml:space="preserve">The market value of firms is determined by a mix of financial and non-financial factors that govern the investor's perceptions and expectations on future performance (Liang &amp; </w:t>
      </w:r>
      <w:proofErr w:type="spellStart"/>
      <w:r>
        <w:t>Renneboog</w:t>
      </w:r>
      <w:proofErr w:type="spellEnd"/>
      <w:r>
        <w:t>, 2022). Traditionally, financial indicators of performance such as profitability, revenue growth and earnings stability have had a dominant role in determining the valuation of firms, as they signal the firm's capacity to generate sustainable cash flows and shareholder returns (Li et al., 2023; Velte, 2023; Broadstock et al., 2021). Corporate governance mechanisms also have an impact on market value by enhancing managerial accountability, lowering agency problems and enhancing transparency in decision-making processes, which in aggregate leads to more investor confidence in the firm (Albuquerque et al., 2020; Velte, 2023). In addition, strategic investments, including innovation, digital transformation and long-term sustainability initiatives, contribute to firm valuation since they signal the ability of a company to stay competitive in dynamic market environments (Broadstock et al., 2021; Li et al., 2023; Albuquerque et al., 2020). More recently, investors have also increasingly regarded non-</w:t>
      </w:r>
      <w:r>
        <w:lastRenderedPageBreak/>
        <w:t xml:space="preserve">financial disclosures, such as sustainability reporting and corporate responsibility efforts, as being of importance as a signal of organisational resilience, risk management and long-term strategic orientation (Velte, 2023; Broadstock et al., 2021). As a result, </w:t>
      </w:r>
      <w:r w:rsidR="003E0A54">
        <w:t>ESG</w:t>
      </w:r>
      <w:r>
        <w:t xml:space="preserve"> considerations have become important parts of investment decision-making, leading to a rising interest in understanding the role of ESG-related strategies in firm valuation in today's capital markets.</w:t>
      </w:r>
    </w:p>
    <w:p w14:paraId="41E43532" w14:textId="148AD319" w:rsidR="0058138D" w:rsidRDefault="0058138D" w:rsidP="0058138D">
      <w:r>
        <w:t xml:space="preserve">Globally, </w:t>
      </w:r>
      <w:r w:rsidR="00D01137">
        <w:t>ESG</w:t>
      </w:r>
      <w:r>
        <w:t xml:space="preserve"> considerations have grown in importance as a framework for investment evaluation as part of global capital markets as investors try to incorporate sustainability-related risks and opportunities into the valuation of companies. The environmental dimension focuses on corporate responsibility in terms of climate change mitigation, resource efficiency and pollution control, whereas the social dimension touches upon issues such as labour practices, community engagement and stakeholder welfare (</w:t>
      </w:r>
      <w:proofErr w:type="spellStart"/>
      <w:r>
        <w:t>Aydogmus</w:t>
      </w:r>
      <w:proofErr w:type="spellEnd"/>
      <w:r>
        <w:t xml:space="preserve"> et al., 2022). Governance transparency, such as board accountability, the quality of disclosure, and ethical leadership, is an additional mechanism for boosting investor confidence by lowering the level of information asymmetry and boosting corporate credibility (Narula et al., 2023). Institutional investors are increasingly looking to ESG metrics when assessing firms, as these metrics give them insights into long-term risk exposure, regulatory compliance and organisational resilience in increasingly changing economic environments (Wong et al., 2020). Consequently, ESG performance is increasingly being understood as a form of valuation signal that shapes the investor perception of the sustainability and long-term competitiveness of firms in modern capital markets (Cheng et al., 2023).</w:t>
      </w:r>
    </w:p>
    <w:p w14:paraId="6AD987EB" w14:textId="3EB6EEB2" w:rsidR="0058138D" w:rsidRDefault="0058138D" w:rsidP="0058138D">
      <w:r>
        <w:t xml:space="preserve">The </w:t>
      </w:r>
      <w:r w:rsidR="003E0A54">
        <w:t>increasing</w:t>
      </w:r>
      <w:r>
        <w:t xml:space="preserve"> importance of sustainability considerations in global finance has led firms to incorporate </w:t>
      </w:r>
      <w:r w:rsidR="00D01137">
        <w:t>ESG</w:t>
      </w:r>
      <w:r>
        <w:t xml:space="preserve"> principles directly into corporate strategy and operational decision-making processes (Friede et al., 2022). ESG strategy implementation includes integrating environmental stewardship, social responsibility and governance accountability into organisational policies, strategic planning frameworks and corporate reporting mechanisms through which businesses conduct their long-term business (Eccles &amp; Klimenko, 20</w:t>
      </w:r>
      <w:r w:rsidR="00781CE4">
        <w:t>19</w:t>
      </w:r>
      <w:r>
        <w:t>). For example, large multinational companies like Microsoft and Unilever have taken a comprehensive approach to their ESG strategy, including carbon neutrality commitments, policies for responsible supply chains and stronger board-level oversight structures for ESG (Serafeim, 2020; Amel-Zadeh &amp; Serafeim, 201</w:t>
      </w:r>
      <w:r w:rsidR="002145F9">
        <w:t>8</w:t>
      </w:r>
      <w:r>
        <w:t xml:space="preserve">). Firms often communicate these commitments through sustainability reports, integrated reporting frameworks and ESG disclosures that supply investors with structured information with regard to environmental performance, social initiatives and governance practices. Environmental initiatives can involve </w:t>
      </w:r>
      <w:r>
        <w:lastRenderedPageBreak/>
        <w:t>carbon emissions reduction programmes and the adoption of renewable energy sources, while social responsibility initiatives can involve community investment, employee welfare programmes and inclusive workplace policies. Governance mechanisms like independent boards, transparent executive compensation policies and increased disclosure practices further ensure accountability and investor trust in corporate management (Amel-Zadeh &amp; Serafeim, 20</w:t>
      </w:r>
      <w:r w:rsidR="002145F9">
        <w:t>18</w:t>
      </w:r>
      <w:r>
        <w:t>). Through these practices, ESG implementation becomes an implementation tool by which firms communicate responsible corporate behaviour and enhance their reputation among investors and other stakeholders.</w:t>
      </w:r>
    </w:p>
    <w:p w14:paraId="36402A86" w14:textId="3FF36621" w:rsidR="0058138D" w:rsidRDefault="0058138D" w:rsidP="0058138D">
      <w:r>
        <w:t>Although the adoption of ESG has accelerated in the developed world, the adoption of ESG practices within the emerging world has been more gradual due to institutional and regulatory limitations. A number of developing economies have developed regulatory frameworks designed to reinforce sustainability disclosure and responsible investment practices, such as the Sustainable Stock Exchanges Initiative backed by the United Nations promoting the adoption of ESG reporting standards among listed companies by stock exchanges (UNCTAD, 2021; World Bank, 2022). For example, the Johannesburg Stock Exchange in South Africa mandates that listed companies prepare integrated reports that include sustainability and governance information, illustrating how regulatory frameworks can boost the adoption of ESGs in developing capital markets (Ioannou &amp; Serafeim, 2022). However, firms in many emerging economies continue to battle with challenges such as poor regulatory enforcement, inadequate sustainability reporting capacity and low awareness of ESG metrics by corporate managers and investors (</w:t>
      </w:r>
      <w:proofErr w:type="spellStart"/>
      <w:r>
        <w:t>Boubakri</w:t>
      </w:r>
      <w:proofErr w:type="spellEnd"/>
      <w:r>
        <w:t xml:space="preserve"> et al., 2021). Despite these limitations, global institutional investors' decisions may hinge on how companies implement and practise their ESG initiatives rather than performance. This is because, as earlier noted, ESG metrics provide insights into the quality of governance, risk management and the resilience of those that are long-term orientated in phasing through volatile economic environments (Garcia et al., 20</w:t>
      </w:r>
      <w:r w:rsidR="0015008F">
        <w:t>17</w:t>
      </w:r>
      <w:r>
        <w:t>). These developments underscore the increasing importance of ESG considerations in corporate governance and financial markets, as well as create a basis for exploring the adoption of ESG in African capital markets such as the Nairobi Securities Exchange.</w:t>
      </w:r>
    </w:p>
    <w:p w14:paraId="50A5F1D9" w14:textId="77777777" w:rsidR="00474B9D" w:rsidRPr="00474B9D" w:rsidRDefault="00474B9D" w:rsidP="00474B9D">
      <w:r w:rsidRPr="00474B9D">
        <w:t xml:space="preserve">In Kenya, environmental, social, and governance (ESG) considerations among companies listed at the Nairobi Securities Exchange (NSE) have become increasingly prominent thanks to both regulators and investors demanding greater corporate transparency and sustainability accountability. Kenyan listed companies such as Safaricom PLC and Equity Group Holdings have grown sustainability reporting and corporate responsibility programs, including climate </w:t>
      </w:r>
      <w:r w:rsidRPr="00474B9D">
        <w:lastRenderedPageBreak/>
        <w:t xml:space="preserve">action programs, financial inclusion programs, and governance reforms to strengthen board accountability and disclosure practices (Omondi &amp; Muturi, 2021; Muriithi &amp; Waweru, 2022). These changes have been backed by rules like corporate governance guidelines from the Capital Markets Authority and sustainability disclosure guidelines from the NSE, which have encouraged listed companies to include ESG considerations in their management and reporting practices. At the same time, interest in ESG performance has been heightened by investors, as more institutional investors are starting to look at sustainability disclosures when determining the risk exposure, long-term growth potential, and reputation of the company in the capital markets (Njoroge &amp; Kinoti, 2023). </w:t>
      </w:r>
    </w:p>
    <w:p w14:paraId="093BFFD5" w14:textId="790578DD" w:rsidR="00474B9D" w:rsidRPr="00474B9D" w:rsidRDefault="00474B9D" w:rsidP="00474B9D">
      <w:r w:rsidRPr="00474B9D">
        <w:t>Even though sustainability reporting practices are changing in the Kenyan capital market, there is still a lack of clear information on how ESG initiatives affect what investors think and how much companies are worth in Kenya. According to the CEIC database from the NSE, total market capitalization stood at about KES 3,083 billion in January 2026, the highest ever recorded since the data series began in 2004, even though the market has been highly volatile over the years</w:t>
      </w:r>
      <w:r>
        <w:t>, hitting a low of KES 273 billion in June 2004</w:t>
      </w:r>
      <w:r w:rsidRPr="00474B9D">
        <w:t xml:space="preserve"> (CEIC, 2026). These fluctuations indicate that the valuation of listed firms is affected by a number of structural and strategic factors that are beyond traditional financial performance, including the impact of ESG initiatives, investor sentiment, and market conditions. As sustainability reporting and responsible investment practices continue their expansion in the Kenyan market, it is both unclear whether the implementation of ESG strategy is part of the explanation for improved firm value and whether it is capable of illustrating periods of weak market valuation among NSE-listed firms. Consequently, this research aims to investigate whether the negotiation of ESG strategy implementation affects the market value of companies registered on the Nairobi Securities Exchange.</w:t>
      </w:r>
    </w:p>
    <w:p w14:paraId="0E952838" w14:textId="55BA3098" w:rsidR="007C4F5C" w:rsidRDefault="007C4F5C" w:rsidP="007C4F5C">
      <w:pPr>
        <w:pStyle w:val="Heading2"/>
        <w:numPr>
          <w:ilvl w:val="1"/>
          <w:numId w:val="5"/>
        </w:numPr>
      </w:pPr>
      <w:bookmarkStart w:id="4" w:name="_Toc224408878"/>
      <w:r>
        <w:t>Statement of the Problem</w:t>
      </w:r>
      <w:bookmarkEnd w:id="4"/>
    </w:p>
    <w:p w14:paraId="5E4C2345" w14:textId="77777777" w:rsidR="00C46526" w:rsidRDefault="00C46526" w:rsidP="00C46526">
      <w:r>
        <w:t xml:space="preserve">The increasing emphasis on environmental, social, and governance (ESG) practices across the globe has resulted in the growing adoption of sustainability strategies by firms seeking to improve long-term competitiveness and legitimacy in the capital markets (Gillan, Koch, &amp; Starks, 2021). Across financial markets worldwide, institutional investors are increasingly taking ESG measurements into consideration when evaluating corporate risk exposure, governance quality, and long-term growth prospects (Li et al., 2023; Velte, 2023). However, despite the rapid growth of ESG disclosure and sustainability reporting, there is still no consensus in empirical evidence on the financial value of ESG. Some research has indicated </w:t>
      </w:r>
      <w:r>
        <w:lastRenderedPageBreak/>
        <w:t>that ESG performance is positively related to firm valuation, via better risk management, increased stakeholder relationships, and attracting responsible investment capital (Broadstock et al., 2021; Li et al., 2023; Omar, 2025). In contrast, some other studies find weak or statistically insignificant relationships between ESG performance and firm value, suggesting that the benefits of ESG investments may not always translate directly into financial gains for shareholders (Velte, 2023; Gillan, Koch &amp; Starks, 2021; Serem, 2024). This difference in empirical results shows that there is a strong theoretical debate about whether or not ESG initiatives always add measurable value to capital markets.</w:t>
      </w:r>
    </w:p>
    <w:p w14:paraId="29F1E882" w14:textId="77777777" w:rsidR="00C46526" w:rsidRDefault="00C46526" w:rsidP="00C46526">
      <w:r>
        <w:t xml:space="preserve">Moreover, there are important practical questions about the strategic value of investments in ESG for different firms listed at the NSE. Existing studies mainly focus on the impact of sustainability disclosure or corporate governance on the value of the company and often consider individual aspects of ESG or individual dimensions of reporting rather than </w:t>
      </w:r>
      <w:proofErr w:type="spellStart"/>
      <w:r>
        <w:t>analyzing</w:t>
      </w:r>
      <w:proofErr w:type="spellEnd"/>
      <w:r>
        <w:t xml:space="preserve"> the implementation of ESG strategy as an integral part of corporate strategy (Serem, 2024). Consequently, although the NSE-listed companies keep investing in sustainable and ESG reporting frameworks, there is a gap in the availability of empirical research evidence to corporate managers and investors in whether the ESG strategy implementation translates into better market value in terms of indicators such as share price performance and market capitalization. This uncertainty poses a practical challenge for firms as they try to prioritize their sustainability investments and find the best way to allocate resources to environmental initiatives, social responsibility programs, and governance reforms. Moreover, the NSE itself has been pushing the listed entities to enhance ESG disclosures to give investors more information on their companies beyond financials, reflecting the rising importance of ESG integration in the Kenyan capital markets (NSE, 2022). So, there is a need for a research study that looks at how using an ESG strategy affects the market value of companies listed on the Nairobi Securities Exchange and provides evidence to help shape ESG investment strategies and sustainability reporting practices.</w:t>
      </w:r>
    </w:p>
    <w:p w14:paraId="4014A2AD" w14:textId="6E537032" w:rsidR="003D2A41" w:rsidRDefault="003D2A41" w:rsidP="003111E2">
      <w:pPr>
        <w:pStyle w:val="Heading2"/>
        <w:numPr>
          <w:ilvl w:val="1"/>
          <w:numId w:val="5"/>
        </w:numPr>
      </w:pPr>
      <w:bookmarkStart w:id="5" w:name="_Toc224408879"/>
      <w:r>
        <w:t>Research Aim</w:t>
      </w:r>
      <w:bookmarkEnd w:id="5"/>
    </w:p>
    <w:p w14:paraId="6103EACC" w14:textId="3CB7E0D6" w:rsidR="003111E2" w:rsidRDefault="003111E2" w:rsidP="003111E2">
      <w:r w:rsidRPr="003111E2">
        <w:t>The aim of this study is to examine the influence of environmental, social and governance (ESG) strategy implementation on the market value of firms listed at the Nairobi Securities Exchange (NSE).</w:t>
      </w:r>
    </w:p>
    <w:p w14:paraId="2B5189BE" w14:textId="27DFEB96" w:rsidR="003111E2" w:rsidRDefault="003111E2" w:rsidP="003111E2">
      <w:pPr>
        <w:pStyle w:val="Heading2"/>
        <w:numPr>
          <w:ilvl w:val="1"/>
          <w:numId w:val="5"/>
        </w:numPr>
      </w:pPr>
      <w:bookmarkStart w:id="6" w:name="_Toc224408880"/>
      <w:r>
        <w:lastRenderedPageBreak/>
        <w:t>Research Objectives</w:t>
      </w:r>
      <w:bookmarkEnd w:id="6"/>
    </w:p>
    <w:p w14:paraId="2D03649D" w14:textId="0E9ED8D8" w:rsidR="0052775B" w:rsidRPr="0052775B" w:rsidRDefault="0052775B" w:rsidP="0052775B">
      <w:r w:rsidRPr="0052775B">
        <w:rPr>
          <w:noProof/>
        </w:rPr>
        <w:drawing>
          <wp:inline distT="0" distB="0" distL="0" distR="0" wp14:anchorId="7EF1A01F" wp14:editId="1698B44F">
            <wp:extent cx="5471634" cy="1501270"/>
            <wp:effectExtent l="0" t="0" r="0" b="3810"/>
            <wp:docPr id="1954976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976175" name=""/>
                    <pic:cNvPicPr/>
                  </pic:nvPicPr>
                  <pic:blipFill>
                    <a:blip r:embed="rId9"/>
                    <a:stretch>
                      <a:fillRect/>
                    </a:stretch>
                  </pic:blipFill>
                  <pic:spPr>
                    <a:xfrm>
                      <a:off x="0" y="0"/>
                      <a:ext cx="5471634" cy="1501270"/>
                    </a:xfrm>
                    <a:prstGeom prst="rect">
                      <a:avLst/>
                    </a:prstGeom>
                  </pic:spPr>
                </pic:pic>
              </a:graphicData>
            </a:graphic>
          </wp:inline>
        </w:drawing>
      </w:r>
    </w:p>
    <w:p w14:paraId="2F466BB8" w14:textId="5FCC246C" w:rsidR="003111E2" w:rsidRDefault="003111E2" w:rsidP="0052775B">
      <w:pPr>
        <w:pStyle w:val="Heading2"/>
        <w:numPr>
          <w:ilvl w:val="1"/>
          <w:numId w:val="5"/>
        </w:numPr>
      </w:pPr>
      <w:bookmarkStart w:id="7" w:name="_Toc224408881"/>
      <w:r w:rsidRPr="003111E2">
        <w:t>Research Questions</w:t>
      </w:r>
      <w:bookmarkEnd w:id="7"/>
    </w:p>
    <w:p w14:paraId="5F627916" w14:textId="470E7448" w:rsidR="0052775B" w:rsidRPr="0052775B" w:rsidRDefault="0052775B" w:rsidP="0052775B">
      <w:r w:rsidRPr="0052775B">
        <w:rPr>
          <w:noProof/>
        </w:rPr>
        <w:drawing>
          <wp:inline distT="0" distB="0" distL="0" distR="0" wp14:anchorId="108FB6C4" wp14:editId="5A0FAD7D">
            <wp:extent cx="5731510" cy="2541270"/>
            <wp:effectExtent l="0" t="0" r="2540" b="0"/>
            <wp:docPr id="448716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716252" name=""/>
                    <pic:cNvPicPr/>
                  </pic:nvPicPr>
                  <pic:blipFill>
                    <a:blip r:embed="rId10"/>
                    <a:stretch>
                      <a:fillRect/>
                    </a:stretch>
                  </pic:blipFill>
                  <pic:spPr>
                    <a:xfrm>
                      <a:off x="0" y="0"/>
                      <a:ext cx="5731510" cy="2541270"/>
                    </a:xfrm>
                    <a:prstGeom prst="rect">
                      <a:avLst/>
                    </a:prstGeom>
                  </pic:spPr>
                </pic:pic>
              </a:graphicData>
            </a:graphic>
          </wp:inline>
        </w:drawing>
      </w:r>
    </w:p>
    <w:p w14:paraId="0332C955" w14:textId="3D140944" w:rsidR="00D94A0E" w:rsidRPr="00DB7A52" w:rsidRDefault="00D94A0E" w:rsidP="00D94A0E">
      <w:pPr>
        <w:rPr>
          <w:b/>
          <w:bCs/>
        </w:rPr>
      </w:pPr>
      <w:r w:rsidRPr="00DB7A52">
        <w:rPr>
          <w:b/>
          <w:bCs/>
        </w:rPr>
        <w:t>1.</w:t>
      </w:r>
      <w:r w:rsidR="00DB7A52" w:rsidRPr="00DB7A52">
        <w:rPr>
          <w:b/>
          <w:bCs/>
        </w:rPr>
        <w:t xml:space="preserve">6 </w:t>
      </w:r>
      <w:r w:rsidRPr="00DB7A52">
        <w:rPr>
          <w:b/>
          <w:bCs/>
        </w:rPr>
        <w:t>Structure of the Report</w:t>
      </w:r>
    </w:p>
    <w:p w14:paraId="47CAD14D" w14:textId="77777777" w:rsidR="00CA2438" w:rsidRDefault="00CA2438" w:rsidP="00CA2438">
      <w:r>
        <w:t>This report is organised in six chapters. Chapter One is an introduction that provides background of study, problem statement, research aim and objectives, research questions and significance of study. Chapter Two introduces the literature review that discusses theoretical perspectives and empirical studies, which are related to ESG strategies and firm value. Chapter Three consists of the research methodology used in the study, namely, research design, the sources of data and the data analysis techniques employed in the study of the relationship between the implementation of ESG strategy and the market value. Chapter Four presents the results of the analysis and discusses the key findings of the study. Chapter Five includes a detailed discussion of the findings as related to the literature and research objectives. Finally, Chapter Six contains the conclusions of the study and recommendations for the firms listed at the Nairobi Securities Exchange as well as recommendations for further research.</w:t>
      </w:r>
    </w:p>
    <w:p w14:paraId="004A5E47" w14:textId="4ACC438D" w:rsidR="00C5251A" w:rsidRDefault="00CA2438" w:rsidP="00CA2438">
      <w:pPr>
        <w:spacing w:before="0" w:after="160" w:line="259" w:lineRule="auto"/>
        <w:jc w:val="left"/>
        <w:rPr>
          <w:rFonts w:eastAsiaTheme="majorEastAsia" w:cstheme="majorBidi"/>
          <w:b/>
          <w:szCs w:val="40"/>
        </w:rPr>
      </w:pPr>
      <w:r>
        <w:t xml:space="preserve"> </w:t>
      </w:r>
      <w:r w:rsidR="00C5251A">
        <w:br w:type="page"/>
      </w:r>
    </w:p>
    <w:p w14:paraId="0DEC7865" w14:textId="1B575451" w:rsidR="00C5251A" w:rsidRDefault="00C5251A" w:rsidP="00C5251A">
      <w:pPr>
        <w:pStyle w:val="Heading1"/>
      </w:pPr>
      <w:bookmarkStart w:id="8" w:name="_Toc224408882"/>
      <w:r>
        <w:lastRenderedPageBreak/>
        <w:t>Chapter Two: Literature Review</w:t>
      </w:r>
      <w:bookmarkEnd w:id="8"/>
    </w:p>
    <w:p w14:paraId="2D0C1454" w14:textId="3C052C16" w:rsidR="00C5251A" w:rsidRDefault="00CA2438" w:rsidP="00C5251A">
      <w:r w:rsidRPr="00CA2438">
        <w:t xml:space="preserve">This </w:t>
      </w:r>
      <w:r>
        <w:t>chapter</w:t>
      </w:r>
      <w:r w:rsidRPr="00CA2438">
        <w:t xml:space="preserve"> analyses and synthesises the literature that is relevant to the research questions and objectives. </w:t>
      </w:r>
      <w:r w:rsidR="00D01137">
        <w:t>The chapter</w:t>
      </w:r>
      <w:r w:rsidRPr="00CA2438">
        <w:t xml:space="preserve"> contains a critical discussion of similar studies conducted pertaining to the study objectives. </w:t>
      </w:r>
      <w:r w:rsidR="00D01137">
        <w:t>It also</w:t>
      </w:r>
      <w:r w:rsidRPr="00CA2438">
        <w:t xml:space="preserve"> covers the theoretical frameworks used to explain the research concepts while the third section includes a discussion on the conceptual frameworks and hypotheses development</w:t>
      </w:r>
      <w:r w:rsidR="00A72659">
        <w:t xml:space="preserve">. </w:t>
      </w:r>
    </w:p>
    <w:p w14:paraId="651ADE76" w14:textId="0814584D" w:rsidR="00A72659" w:rsidRDefault="00510481" w:rsidP="00510481">
      <w:pPr>
        <w:pStyle w:val="Heading2"/>
      </w:pPr>
      <w:bookmarkStart w:id="9" w:name="_Toc224408883"/>
      <w:r>
        <w:t>2.1 Similar Studies on ESG and Firm Value</w:t>
      </w:r>
      <w:bookmarkEnd w:id="9"/>
      <w:r>
        <w:t xml:space="preserve"> </w:t>
      </w:r>
    </w:p>
    <w:p w14:paraId="2073BAC3" w14:textId="6513EB17" w:rsidR="00D320EB" w:rsidRDefault="00D320EB" w:rsidP="002407A5">
      <w:r w:rsidRPr="00D320EB">
        <w:t xml:space="preserve">There are many studies discussing the relationship between the </w:t>
      </w:r>
      <w:r>
        <w:t>ESG</w:t>
      </w:r>
      <w:r w:rsidRPr="00D320EB">
        <w:t xml:space="preserve"> practices and the firm financial </w:t>
      </w:r>
      <w:r>
        <w:t>value</w:t>
      </w:r>
      <w:r w:rsidRPr="00D320EB">
        <w:t xml:space="preserve"> and the interest to the issue whether the initiatives taken in the context of sustainability add to the corporate value creation is increasing. In a meta-analysis study, Friede, Busch, and Bassen (2015) have reviewed more than 2200 empirical studies and have discovered that approximately 90% of them have reported that a positive relationship between the ESG practices and the corporate financial </w:t>
      </w:r>
      <w:r>
        <w:t>value</w:t>
      </w:r>
      <w:r w:rsidRPr="00D320EB">
        <w:t xml:space="preserve"> existed, meaning that the sustainability initiatives are likely to help and not undermine the corporate financial performance. </w:t>
      </w:r>
      <w:proofErr w:type="spellStart"/>
      <w:r w:rsidRPr="00D320EB">
        <w:t>Alshehhi</w:t>
      </w:r>
      <w:proofErr w:type="spellEnd"/>
      <w:r w:rsidRPr="00D320EB">
        <w:t xml:space="preserve">, </w:t>
      </w:r>
      <w:proofErr w:type="spellStart"/>
      <w:r w:rsidRPr="00D320EB">
        <w:t>Nobanee</w:t>
      </w:r>
      <w:proofErr w:type="spellEnd"/>
      <w:r w:rsidRPr="00D320EB">
        <w:t>, and Khare (2018), in their turn, were able to examine 132 peer-reviewed studies and stated that approximately 78% of literature reviews have shown that there is a positive relationship between sustainability practices and the financial performance of the firm.</w:t>
      </w:r>
    </w:p>
    <w:p w14:paraId="52B996F6" w14:textId="7FB68BBE" w:rsidR="002407A5" w:rsidRPr="002407A5" w:rsidRDefault="00D320EB" w:rsidP="002407A5">
      <w:r w:rsidRPr="00D320EB">
        <w:t xml:space="preserve">Furthermore, more recent evidence still remains to demonstrate rather positive and, nevertheless, inconclusive outcomes in respect to the relationship between the ESG performance. The research of Whelan et al. (2021) focused on the empirical relationship between ESG performance and financial performance in a variety of industries and markets, which was conducted in a large-scale review to be representative of over 1,000 studies published between 2015 and 2020. </w:t>
      </w:r>
      <w:r w:rsidR="002407A5" w:rsidRPr="002407A5">
        <w:t xml:space="preserve">Their findings showed that about 58% of the </w:t>
      </w:r>
      <w:proofErr w:type="spellStart"/>
      <w:r w:rsidR="002407A5" w:rsidRPr="002407A5">
        <w:t>analyzed</w:t>
      </w:r>
      <w:proofErr w:type="spellEnd"/>
      <w:r w:rsidR="002407A5" w:rsidRPr="002407A5">
        <w:t xml:space="preserve"> studies indicated that ESG practices and financial performance were positively related, 8% indicated a negative relationship, and 13% indicated no significant relationship. In addition, 21% of the studies had mixed or context-dependent findings, which imply the ESG-financial performance relationship may differ under different institutional, industry, or governance conditions. These findings suggest that while most of the research supports this positive association between the ESG practices and financial performance, the empirical evidence is still of a diverse nature and keeps motivating the debate in the academic and investment communities. Moreover, this systematic literature review focused entirely on ESG and firm </w:t>
      </w:r>
      <w:r w:rsidR="002407A5" w:rsidRPr="002407A5">
        <w:lastRenderedPageBreak/>
        <w:t>performance but not specifically on ESG and firm value, which has also been debated for many years.</w:t>
      </w:r>
    </w:p>
    <w:p w14:paraId="4A1431FD" w14:textId="77777777" w:rsidR="00994A67" w:rsidRDefault="008100E3" w:rsidP="008100E3">
      <w:pPr>
        <w:pStyle w:val="Heading3"/>
      </w:pPr>
      <w:bookmarkStart w:id="10" w:name="_Toc224408884"/>
      <w:r>
        <w:t>2.1.1 Studies finding positive relationship between ESG and Firm Value</w:t>
      </w:r>
      <w:bookmarkEnd w:id="10"/>
    </w:p>
    <w:p w14:paraId="64A32B93" w14:textId="54266C01" w:rsidR="002407A5" w:rsidRDefault="002407A5" w:rsidP="002407A5">
      <w:r>
        <w:t xml:space="preserve">A vast body of empirical literature shows that ESG practices have a positive contribution to firm value and financial performance. For example, Sra, Booth and Cox (2022) found that voluntary carbon disclosure significantly increased the market value of Global 500 companies, suggesting the investors reward environmental transparency. </w:t>
      </w:r>
      <w:r w:rsidR="00C77B35" w:rsidRPr="00C77B35">
        <w:t xml:space="preserve">Similarly, Li, Tang and Li (2024) found that ESG system implementation had a </w:t>
      </w:r>
      <w:r w:rsidR="00C77B35">
        <w:t>meaningful</w:t>
      </w:r>
      <w:r w:rsidR="00C77B35" w:rsidRPr="00C77B35">
        <w:t xml:space="preserve"> positive effect on corporate performance indicators such as return on assets and return on equity among firms in environmentally intensive industries. Agutu and </w:t>
      </w:r>
      <w:proofErr w:type="spellStart"/>
      <w:r w:rsidR="00C77B35" w:rsidRPr="00C77B35">
        <w:t>Githira</w:t>
      </w:r>
      <w:proofErr w:type="spellEnd"/>
      <w:r w:rsidR="00C77B35" w:rsidRPr="00C77B35">
        <w:t xml:space="preserve"> (2023) in the Kenyan case found a positive </w:t>
      </w:r>
      <w:r w:rsidR="00C77B35">
        <w:t>effects of ESG</w:t>
      </w:r>
      <w:r w:rsidR="00C77B35" w:rsidRPr="00C77B35">
        <w:t xml:space="preserve"> indicators </w:t>
      </w:r>
      <w:r w:rsidR="00C77B35">
        <w:t>on</w:t>
      </w:r>
      <w:r w:rsidR="00C77B35" w:rsidRPr="00C77B35">
        <w:t xml:space="preserve"> the financial performance of listed firms in the </w:t>
      </w:r>
      <w:r w:rsidR="00C77B35">
        <w:t>NSE, however, their context was commercial banks</w:t>
      </w:r>
      <w:r w:rsidR="00C77B35" w:rsidRPr="00C77B35">
        <w:t>.</w:t>
      </w:r>
    </w:p>
    <w:p w14:paraId="59F4D04F" w14:textId="746135EF" w:rsidR="002407A5" w:rsidRDefault="002407A5" w:rsidP="002407A5">
      <w:r>
        <w:t xml:space="preserve">Evidence from other emerging markets is consistent with these findings. </w:t>
      </w:r>
      <w:proofErr w:type="spellStart"/>
      <w:r>
        <w:t>Matemane</w:t>
      </w:r>
      <w:proofErr w:type="spellEnd"/>
      <w:r>
        <w:t xml:space="preserve">, Molefe and Sibanda (2024) noted that ESG performance had positive implications for financial performance on the part of firms listed on the Johannesburg Stock Exchange through enhanced stakeholders’ relations and risk management capacities. Likewise, </w:t>
      </w:r>
      <w:proofErr w:type="spellStart"/>
      <w:r>
        <w:t>Chininga</w:t>
      </w:r>
      <w:proofErr w:type="spellEnd"/>
      <w:r>
        <w:t xml:space="preserve">, Alhassan and Zeka (2024) reported that South African firms that improved their ESG ratings improved their accounting-based and market-based performance. Studies done in the Asian markets also show similar results. For example, Desai (2024) found that ESG disclosure significantly improved the value of the firm among Indian listed firms, whereas Tang et al. (2025) found that vigorous ESG performance helped to improve corporate value and competitiveness over the long term among Chinese listed companies. </w:t>
      </w:r>
    </w:p>
    <w:p w14:paraId="2450D829" w14:textId="10A3CBFD" w:rsidR="000C7A0C" w:rsidRPr="000C7A0C" w:rsidRDefault="002407A5" w:rsidP="002407A5">
      <w:r>
        <w:t>Other studies such as Numan et al. (2023) and Aydogmus, Gulay and Ergun (2025) confirm further that ESG disclosures and high ESG scores improve firm value by reducing financing costs and improving portfolio performance.</w:t>
      </w:r>
      <w:r w:rsidR="00C77B35">
        <w:t xml:space="preserve"> </w:t>
      </w:r>
      <w:r w:rsidR="00C77B35" w:rsidRPr="00C77B35">
        <w:t>Furthermore, Ahmad et al. (2021) studies the effects of ESG on financial performance of 351 FTSE350 companies in 2002 to 2018.</w:t>
      </w:r>
      <w:r>
        <w:t xml:space="preserve"> </w:t>
      </w:r>
      <w:r w:rsidR="007446A4" w:rsidRPr="007446A4">
        <w:t xml:space="preserve">Their results indicate that the collective ESG score has a strong positive effect on the corporate financial performance, although the separate aspects of environmental, social and governance have varied outcomes. </w:t>
      </w:r>
      <w:r>
        <w:t xml:space="preserve">There are also studies that are industry-specific. For example, Abdi et al. (2022) examines the linkage between ESG scores, firm value and profitability in the aviation sector based on a sample of 38 airlines from the years 2009 through 2019. Their results show that the higher the investment in governance practices, the better the company's market to book </w:t>
      </w:r>
      <w:r>
        <w:lastRenderedPageBreak/>
        <w:t>ratio, and the more the engagement in social and environmental initiatives, the better the financial efficiency</w:t>
      </w:r>
      <w:r w:rsidR="000C7A0C" w:rsidRPr="000C7A0C">
        <w:t>.</w:t>
      </w:r>
    </w:p>
    <w:p w14:paraId="29E2A040" w14:textId="2034FB2B" w:rsidR="000C7A0C" w:rsidRDefault="000C7A0C" w:rsidP="000C7A0C">
      <w:pPr>
        <w:pStyle w:val="Heading3"/>
      </w:pPr>
      <w:bookmarkStart w:id="11" w:name="_Toc224408885"/>
      <w:r>
        <w:t>2.1.2 Studies finding negative relationship between ESG and firm value</w:t>
      </w:r>
      <w:bookmarkEnd w:id="11"/>
    </w:p>
    <w:p w14:paraId="772F4572" w14:textId="6709812E" w:rsidR="002407A5" w:rsidRDefault="002407A5" w:rsidP="002407A5">
      <w:r>
        <w:t>Despite the accumulating evidence of the value-enhancing role of ESG practices, others have found a negative relationship between</w:t>
      </w:r>
      <w:r w:rsidR="00C77B35" w:rsidRPr="00C77B35">
        <w:rPr>
          <w:color w:val="FFFFFF" w:themeColor="background1"/>
        </w:rPr>
        <w:t>5</w:t>
      </w:r>
      <w:r>
        <w:t>ESG investments and firm</w:t>
      </w:r>
      <w:r w:rsidR="00C77B35" w:rsidRPr="00C77B35">
        <w:rPr>
          <w:color w:val="FFFFFF" w:themeColor="background1"/>
        </w:rPr>
        <w:t>5</w:t>
      </w:r>
      <w:r>
        <w:t>value. For</w:t>
      </w:r>
      <w:r w:rsidR="00C77B35" w:rsidRPr="00C77B35">
        <w:rPr>
          <w:color w:val="FFFFFF" w:themeColor="background1"/>
        </w:rPr>
        <w:t>5</w:t>
      </w:r>
      <w:r>
        <w:t>instance, Mishra and Shukla (2024) reviewed that</w:t>
      </w:r>
      <w:r w:rsidR="00C77B35" w:rsidRPr="00C77B35">
        <w:rPr>
          <w:color w:val="FFFFFF" w:themeColor="background1"/>
        </w:rPr>
        <w:t>5</w:t>
      </w:r>
      <w:r>
        <w:t>ESG reporting lowered firm value amongst Indian listed firms when viewed independently. The authors argued that ESG implementation may require additional costs initially due to sustainability investments, reporting requirements and compliance with environmental regulations. These costs can lead to lower short-term profitability and market valuation, especially in situations where investors are more focused on financial returns than on sustainability commitments. However, the study further observed that strong corporate governance mechanisms like independence of board of directors and more frequent board meetings can mitigate the negative</w:t>
      </w:r>
      <w:r w:rsidR="00175E3A" w:rsidRPr="00175E3A">
        <w:rPr>
          <w:color w:val="FFFFFF" w:themeColor="background1"/>
        </w:rPr>
        <w:t>5</w:t>
      </w:r>
      <w:r>
        <w:t>impact</w:t>
      </w:r>
      <w:r w:rsidR="00175E3A" w:rsidRPr="00175E3A">
        <w:rPr>
          <w:color w:val="FFFFFF" w:themeColor="background1"/>
        </w:rPr>
        <w:t>5</w:t>
      </w:r>
      <w:r>
        <w:t>of</w:t>
      </w:r>
      <w:r w:rsidR="00175E3A" w:rsidRPr="00175E3A">
        <w:rPr>
          <w:color w:val="FFFFFF" w:themeColor="background1"/>
        </w:rPr>
        <w:t>5</w:t>
      </w:r>
      <w:r>
        <w:t>ESG reporting on firm</w:t>
      </w:r>
      <w:r w:rsidR="00175E3A" w:rsidRPr="00175E3A">
        <w:rPr>
          <w:color w:val="FFFFFF" w:themeColor="background1"/>
        </w:rPr>
        <w:t>5</w:t>
      </w:r>
      <w:r>
        <w:t>value.</w:t>
      </w:r>
    </w:p>
    <w:p w14:paraId="6B88160E" w14:textId="15F68848" w:rsidR="002407A5" w:rsidRDefault="002407A5" w:rsidP="002407A5">
      <w:r>
        <w:t>Wilson et al</w:t>
      </w:r>
      <w:r w:rsidR="00175E3A">
        <w:t>. (2021)</w:t>
      </w:r>
      <w:r>
        <w:t xml:space="preserve"> finds evidence of an inverse relationship between ESG</w:t>
      </w:r>
      <w:r w:rsidR="00175E3A" w:rsidRPr="00175E3A">
        <w:rPr>
          <w:color w:val="FFFFFF" w:themeColor="background1"/>
        </w:rPr>
        <w:t>5</w:t>
      </w:r>
      <w:r>
        <w:t>performance and firm value in several country specific studies. For</w:t>
      </w:r>
      <w:r w:rsidR="00175E3A" w:rsidRPr="00175E3A">
        <w:rPr>
          <w:color w:val="FFFFFF" w:themeColor="background1"/>
        </w:rPr>
        <w:t>5</w:t>
      </w:r>
      <w:r>
        <w:t>example, Brammer et al. (2006)</w:t>
      </w:r>
      <w:r w:rsidR="00175E3A" w:rsidRPr="00175E3A">
        <w:rPr>
          <w:color w:val="FFFFFF" w:themeColor="background1"/>
        </w:rPr>
        <w:t>5</w:t>
      </w:r>
      <w:r>
        <w:t>analyzes the effect of corporate</w:t>
      </w:r>
      <w:r w:rsidR="00175E3A" w:rsidRPr="00175E3A">
        <w:rPr>
          <w:color w:val="FFFFFF" w:themeColor="background1"/>
        </w:rPr>
        <w:t>5</w:t>
      </w:r>
      <w:r>
        <w:t>social</w:t>
      </w:r>
      <w:r w:rsidR="00175E3A" w:rsidRPr="00175E3A">
        <w:rPr>
          <w:color w:val="FFFFFF" w:themeColor="background1"/>
        </w:rPr>
        <w:t>5</w:t>
      </w:r>
      <w:r>
        <w:t>performance among UK firms</w:t>
      </w:r>
      <w:r w:rsidR="00175E3A" w:rsidRPr="00175E3A">
        <w:rPr>
          <w:color w:val="FFFFFF" w:themeColor="background1"/>
        </w:rPr>
        <w:t>5</w:t>
      </w:r>
      <w:r>
        <w:t>based on data on market returns. Their results provide evidence that companies with lower social performance scores are better performing than the overall market. Similarly, Landi</w:t>
      </w:r>
      <w:r w:rsidR="00175E3A" w:rsidRPr="00175E3A">
        <w:rPr>
          <w:color w:val="FFFFFF" w:themeColor="background1"/>
        </w:rPr>
        <w:t>5</w:t>
      </w:r>
      <w:r>
        <w:t>and</w:t>
      </w:r>
      <w:r w:rsidR="00175E3A" w:rsidRPr="00175E3A">
        <w:rPr>
          <w:color w:val="FFFFFF" w:themeColor="background1"/>
        </w:rPr>
        <w:t>5</w:t>
      </w:r>
      <w:r>
        <w:t>Sciarelli (2019) examine a sample of 54 publicly listed</w:t>
      </w:r>
      <w:r w:rsidR="00175E3A" w:rsidRPr="00175E3A">
        <w:rPr>
          <w:color w:val="FFFFFF" w:themeColor="background1"/>
        </w:rPr>
        <w:t>5</w:t>
      </w:r>
      <w:r>
        <w:t>firms in Italy for the</w:t>
      </w:r>
      <w:r w:rsidR="00175E3A" w:rsidRPr="00175E3A">
        <w:rPr>
          <w:color w:val="FFFFFF" w:themeColor="background1"/>
        </w:rPr>
        <w:t>5</w:t>
      </w:r>
      <w:r>
        <w:t>period 2007-2015 and find that as ESG scores increase, financial performance decreases. Similar results are pointed out by research done in Canada. Folger-Laronde et al.</w:t>
      </w:r>
      <w:r w:rsidR="00175E3A">
        <w:t xml:space="preserve"> (</w:t>
      </w:r>
      <w:r>
        <w:t>202</w:t>
      </w:r>
      <w:r w:rsidR="00781CE4">
        <w:t>2</w:t>
      </w:r>
      <w:r w:rsidR="00175E3A">
        <w:t xml:space="preserve">) </w:t>
      </w:r>
      <w:r>
        <w:t>ESG</w:t>
      </w:r>
      <w:r w:rsidR="00175E3A" w:rsidRPr="00175E3A">
        <w:rPr>
          <w:color w:val="FFFFFF" w:themeColor="background1"/>
        </w:rPr>
        <w:t>5</w:t>
      </w:r>
      <w:r>
        <w:t>ratings and their financial</w:t>
      </w:r>
      <w:r w:rsidR="00175E3A" w:rsidRPr="00175E3A">
        <w:rPr>
          <w:color w:val="FFFFFF" w:themeColor="background1"/>
        </w:rPr>
        <w:t>5</w:t>
      </w:r>
      <w:r>
        <w:t xml:space="preserve">returns of Exchange Traded Funds (ETFs) during the market crisis caused by the current Coronavirus pandemic. Their findings suggest that ETFs with better ESG ratings did not necessarily offer protection against serious market downturns. </w:t>
      </w:r>
    </w:p>
    <w:p w14:paraId="5EC309CD" w14:textId="20F15928" w:rsidR="002407A5" w:rsidRDefault="002407A5" w:rsidP="002407A5">
      <w:r>
        <w:t>Other studies further demonstrate the complexity</w:t>
      </w:r>
      <w:r w:rsidR="00175E3A">
        <w:rPr>
          <w:color w:val="FFFFFF" w:themeColor="background1"/>
        </w:rPr>
        <w:t>5</w:t>
      </w:r>
      <w:r>
        <w:t>of the</w:t>
      </w:r>
      <w:r w:rsidR="00175E3A" w:rsidRPr="00175E3A">
        <w:rPr>
          <w:color w:val="FFFFFF" w:themeColor="background1"/>
        </w:rPr>
        <w:t>5</w:t>
      </w:r>
      <w:r>
        <w:t>ESG-financial</w:t>
      </w:r>
      <w:r w:rsidR="00175E3A" w:rsidRPr="00175E3A">
        <w:rPr>
          <w:color w:val="FFFFFF" w:themeColor="background1"/>
        </w:rPr>
        <w:t>5</w:t>
      </w:r>
      <w:r>
        <w:t xml:space="preserve">performance relationship. </w:t>
      </w:r>
      <w:r w:rsidR="001C15BE" w:rsidRPr="001C15BE">
        <w:t>Nollet et al</w:t>
      </w:r>
      <w:r w:rsidR="00A61A31">
        <w:t>.</w:t>
      </w:r>
      <w:r w:rsidR="001C15BE" w:rsidRPr="001C15BE">
        <w:t xml:space="preserve"> (2016) assess accounting</w:t>
      </w:r>
      <w:r w:rsidR="00A61A31" w:rsidRPr="00A61A31">
        <w:rPr>
          <w:color w:val="FFFFFF" w:themeColor="background1"/>
        </w:rPr>
        <w:t>2</w:t>
      </w:r>
      <w:r w:rsidR="001C15BE" w:rsidRPr="001C15BE">
        <w:t>and</w:t>
      </w:r>
      <w:r w:rsidR="00A61A31" w:rsidRPr="00A61A31">
        <w:rPr>
          <w:color w:val="FFFFFF" w:themeColor="background1"/>
        </w:rPr>
        <w:t>2</w:t>
      </w:r>
      <w:r w:rsidR="0052775B" w:rsidRPr="001C15BE">
        <w:t>market-based</w:t>
      </w:r>
      <w:r w:rsidR="001C15BE" w:rsidRPr="001C15BE">
        <w:t xml:space="preserve"> measures of the correlation between the social and financial performance of S&amp;P 500 companies between 2007 and 2011. The correlation analysis gets a negative value with linear models but is positive with non-linear models. </w:t>
      </w:r>
      <w:r>
        <w:t>Likewise, Marsat,</w:t>
      </w:r>
      <w:r w:rsidR="00A61A31" w:rsidRPr="00A61A31">
        <w:rPr>
          <w:color w:val="FFFFFF" w:themeColor="background1"/>
        </w:rPr>
        <w:t>2</w:t>
      </w:r>
      <w:r>
        <w:t>and</w:t>
      </w:r>
      <w:r w:rsidR="00A61A31" w:rsidRPr="00A61A31">
        <w:rPr>
          <w:color w:val="FFFFFF" w:themeColor="background1"/>
        </w:rPr>
        <w:t>2</w:t>
      </w:r>
      <w:r>
        <w:t>Williams (2011) utilizing global MSCI ESG ratings indicate a negative trend between corporate social responsibility ratings and firm value.</w:t>
      </w:r>
    </w:p>
    <w:p w14:paraId="12E950F7" w14:textId="4C8E80C2" w:rsidR="00FB7CF7" w:rsidRDefault="00F4525D" w:rsidP="00FB7CF7">
      <w:r w:rsidRPr="00F4525D">
        <w:t>Some cross-national research had identified similar results. As an example, Duque-Grisales and Aguilera-</w:t>
      </w:r>
      <w:proofErr w:type="spellStart"/>
      <w:r w:rsidRPr="00F4525D">
        <w:t>Caracuel</w:t>
      </w:r>
      <w:proofErr w:type="spellEnd"/>
      <w:r w:rsidRPr="00F4525D">
        <w:t xml:space="preserve"> (2021) reviewed 104 Latin American MNCs in the 2011-2015 period </w:t>
      </w:r>
      <w:r w:rsidRPr="00F4525D">
        <w:lastRenderedPageBreak/>
        <w:t>and found that ESG scores showed a negative</w:t>
      </w:r>
      <w:r w:rsidR="00A61A31" w:rsidRPr="00A61A31">
        <w:rPr>
          <w:color w:val="FFFFFF" w:themeColor="background1"/>
        </w:rPr>
        <w:t>2</w:t>
      </w:r>
      <w:r w:rsidRPr="00F4525D">
        <w:t>correlation with the financial</w:t>
      </w:r>
      <w:r w:rsidR="00A61A31" w:rsidRPr="00A61A31">
        <w:rPr>
          <w:color w:val="FFFFFF" w:themeColor="background1"/>
        </w:rPr>
        <w:t>5</w:t>
      </w:r>
      <w:r w:rsidRPr="00F4525D">
        <w:t>performance</w:t>
      </w:r>
      <w:r w:rsidR="00A61A31" w:rsidRPr="00A61A31">
        <w:rPr>
          <w:color w:val="FFFFFF" w:themeColor="background1"/>
        </w:rPr>
        <w:t>5</w:t>
      </w:r>
      <w:r w:rsidRPr="00F4525D">
        <w:t>of the firm. In a similar fashion, the study by Garcia and Orsato (2020) focused on the analysis of 2,165 companies operating in emerging or developed economies in 2007-2014 and found that in most cases, especially in emerging economies, an increased ESG performance level is associated with a decreased level of financial performance in companies.</w:t>
      </w:r>
    </w:p>
    <w:p w14:paraId="2401CE6B" w14:textId="2EBDF413" w:rsidR="00FB7CF7" w:rsidRDefault="00FB7CF7" w:rsidP="00FB7CF7">
      <w:pPr>
        <w:pStyle w:val="Heading3"/>
      </w:pPr>
      <w:bookmarkStart w:id="12" w:name="_Toc224408886"/>
      <w:r>
        <w:t>2.1.3 Studies with mixed findings or conditional findings</w:t>
      </w:r>
      <w:bookmarkEnd w:id="12"/>
    </w:p>
    <w:p w14:paraId="49692495" w14:textId="68702601" w:rsidR="002407A5" w:rsidRDefault="002407A5" w:rsidP="002407A5">
      <w:r>
        <w:t>Several studies suggest the relationship</w:t>
      </w:r>
      <w:r w:rsidR="00A61A31" w:rsidRPr="00A61A31">
        <w:rPr>
          <w:color w:val="FFFFFF" w:themeColor="background1"/>
        </w:rPr>
        <w:t>5</w:t>
      </w:r>
      <w:r>
        <w:t>between ESG and</w:t>
      </w:r>
      <w:r w:rsidR="00A61A31" w:rsidRPr="00A61A31">
        <w:rPr>
          <w:color w:val="FFFFFF" w:themeColor="background1"/>
        </w:rPr>
        <w:t>5</w:t>
      </w:r>
      <w:r>
        <w:t>firm value is complex</w:t>
      </w:r>
      <w:r w:rsidR="00A61A31" w:rsidRPr="00A61A31">
        <w:rPr>
          <w:color w:val="FFFFFF" w:themeColor="background1"/>
        </w:rPr>
        <w:t>5</w:t>
      </w:r>
      <w:r>
        <w:t>and dependent on the context and factors</w:t>
      </w:r>
      <w:r w:rsidR="00A61A31" w:rsidRPr="00A61A31">
        <w:rPr>
          <w:color w:val="FFFFFF" w:themeColor="background1"/>
        </w:rPr>
        <w:t>5</w:t>
      </w:r>
      <w:r>
        <w:t>such as governance structures, institutional environments and industry characteristics. For example, in Biju, Thomas and Tiwari (2025), they have found that ESG performance showed a complex relationship</w:t>
      </w:r>
      <w:r w:rsidR="00A61A31" w:rsidRPr="00A61A31">
        <w:rPr>
          <w:color w:val="FFFFFF" w:themeColor="background1"/>
        </w:rPr>
        <w:t>5</w:t>
      </w:r>
      <w:r>
        <w:t>with firm</w:t>
      </w:r>
      <w:r w:rsidR="00A61A31" w:rsidRPr="00A61A31">
        <w:rPr>
          <w:color w:val="FFFFFF" w:themeColor="background1"/>
        </w:rPr>
        <w:t>5</w:t>
      </w:r>
      <w:r>
        <w:t>value in India, with better governance improving market value while environmental costs decreased firm valuation at first. Similarly, Kim, Weston and Nnadi (2025) found that the ESG</w:t>
      </w:r>
      <w:r w:rsidR="00A61A31" w:rsidRPr="00A61A31">
        <w:rPr>
          <w:color w:val="FFFFFF" w:themeColor="background1"/>
        </w:rPr>
        <w:t>5</w:t>
      </w:r>
      <w:r>
        <w:t>performance</w:t>
      </w:r>
      <w:r w:rsidR="00A61A31" w:rsidRPr="00A61A31">
        <w:rPr>
          <w:color w:val="FFFFFF" w:themeColor="background1"/>
        </w:rPr>
        <w:t>5</w:t>
      </w:r>
      <w:r>
        <w:t>positively affected the value</w:t>
      </w:r>
      <w:r w:rsidR="00A61A31" w:rsidRPr="00A61A31">
        <w:rPr>
          <w:color w:val="FFFFFF" w:themeColor="background1"/>
        </w:rPr>
        <w:t>5</w:t>
      </w:r>
      <w:r>
        <w:t>of the</w:t>
      </w:r>
      <w:r w:rsidR="00A61A31" w:rsidRPr="00A61A31">
        <w:rPr>
          <w:color w:val="FFFFFF" w:themeColor="background1"/>
        </w:rPr>
        <w:t>5</w:t>
      </w:r>
      <w:r>
        <w:t>firm among the Australian firms but the impact diminished for firms with extensive supply chain contract and intense audit oversight. In China, Zhang, Xiong and Li (2022) found that although the overall ESG</w:t>
      </w:r>
      <w:r w:rsidR="00A61A31" w:rsidRPr="00A61A31">
        <w:rPr>
          <w:color w:val="FFFFFF" w:themeColor="background1"/>
        </w:rPr>
        <w:t>5</w:t>
      </w:r>
      <w:r>
        <w:t>score had a positive</w:t>
      </w:r>
      <w:r w:rsidR="00A61A31" w:rsidRPr="00A61A31">
        <w:rPr>
          <w:color w:val="FFFFFF" w:themeColor="background1"/>
        </w:rPr>
        <w:t>5</w:t>
      </w:r>
      <w:r>
        <w:t>impact on firm value, the governance dimension had mixed effects on different firms.</w:t>
      </w:r>
    </w:p>
    <w:p w14:paraId="3A7BA3FD" w14:textId="139DA0C1" w:rsidR="00EE65E5" w:rsidRPr="00EE65E5" w:rsidRDefault="002407A5" w:rsidP="002407A5">
      <w:r>
        <w:t>Other studies emphasize the conditional importance of ESG practices on the firm value. For example, Khaled, Ali and Mohamed (2024) found that ESG</w:t>
      </w:r>
      <w:r w:rsidR="00A61A31" w:rsidRPr="00A61A31">
        <w:rPr>
          <w:color w:val="FFFFFF" w:themeColor="background1"/>
        </w:rPr>
        <w:t>5</w:t>
      </w:r>
      <w:r>
        <w:t>performance</w:t>
      </w:r>
      <w:r w:rsidR="00A61A31" w:rsidRPr="00A61A31">
        <w:rPr>
          <w:color w:val="FFFFFF" w:themeColor="background1"/>
        </w:rPr>
        <w:t>5</w:t>
      </w:r>
      <w:r>
        <w:t>had a</w:t>
      </w:r>
      <w:r w:rsidR="00A61A31" w:rsidRPr="00A61A31">
        <w:rPr>
          <w:color w:val="FFFFFF" w:themeColor="background1"/>
        </w:rPr>
        <w:t>5</w:t>
      </w:r>
      <w:r>
        <w:t>moderating effect</w:t>
      </w:r>
      <w:r w:rsidR="00A61A31" w:rsidRPr="00A61A31">
        <w:rPr>
          <w:color w:val="FFFFFF" w:themeColor="background1"/>
        </w:rPr>
        <w:t>5</w:t>
      </w:r>
      <w:r>
        <w:t>on the</w:t>
      </w:r>
      <w:r w:rsidR="00A61A31" w:rsidRPr="00A61A31">
        <w:rPr>
          <w:color w:val="FFFFFF" w:themeColor="background1"/>
        </w:rPr>
        <w:t>5</w:t>
      </w:r>
      <w:r>
        <w:t>relationship</w:t>
      </w:r>
      <w:r w:rsidR="00A61A31" w:rsidRPr="00A61A31">
        <w:rPr>
          <w:color w:val="FFFFFF" w:themeColor="background1"/>
        </w:rPr>
        <w:t>5</w:t>
      </w:r>
      <w:r>
        <w:t>between corporate</w:t>
      </w:r>
      <w:r w:rsidR="00A61A31" w:rsidRPr="00A61A31">
        <w:rPr>
          <w:color w:val="FFFFFF" w:themeColor="background1"/>
        </w:rPr>
        <w:t>5</w:t>
      </w:r>
      <w:r>
        <w:t>governance attributes and firm value in Sub-Saharan Africa indicating a direct relationship. Similarly, Fan, Xu and Deng (2022) found that environmental regulation contributed to improvement in firm value via various mechanisms, such as green innovation and carbon disclosure. These findings</w:t>
      </w:r>
      <w:r w:rsidR="00A61A31" w:rsidRPr="00A61A31">
        <w:rPr>
          <w:color w:val="FFFFFF" w:themeColor="background1"/>
        </w:rPr>
        <w:t>5</w:t>
      </w:r>
      <w:r>
        <w:t>indicate that the effect</w:t>
      </w:r>
      <w:r w:rsidR="00A61A31" w:rsidRPr="00A61A31">
        <w:rPr>
          <w:color w:val="FFFFFF" w:themeColor="background1"/>
        </w:rPr>
        <w:t>5</w:t>
      </w:r>
      <w:r>
        <w:t>of</w:t>
      </w:r>
      <w:r w:rsidR="00A61A31" w:rsidRPr="00A61A31">
        <w:rPr>
          <w:color w:val="FFFFFF" w:themeColor="background1"/>
        </w:rPr>
        <w:t>5</w:t>
      </w:r>
      <w:r>
        <w:t>ESG practices on firm value is dependent on organisational characteristics, institutional environment and quality of governance.</w:t>
      </w:r>
    </w:p>
    <w:p w14:paraId="3F949414" w14:textId="17283DEF" w:rsidR="00FB7CF7" w:rsidRDefault="00EE65E5" w:rsidP="00EE65E5">
      <w:pPr>
        <w:pStyle w:val="Heading2"/>
      </w:pPr>
      <w:bookmarkStart w:id="13" w:name="_Toc224408887"/>
      <w:r>
        <w:t>2.1.4 Gaps in Empirical Literature</w:t>
      </w:r>
      <w:bookmarkEnd w:id="13"/>
    </w:p>
    <w:p w14:paraId="3CCAC972" w14:textId="42B0DC03" w:rsidR="009C4773" w:rsidRPr="009C4773" w:rsidRDefault="00F4525D" w:rsidP="009C4773">
      <w:r>
        <w:t>There</w:t>
      </w:r>
      <w:r w:rsidR="009C4773" w:rsidRPr="009C4773">
        <w:t xml:space="preserve"> are several conceptual gaps in the existing empirical research. A major limitation is that most past studies have looked at a company's financial performance, using numbers like return on assets (ROA), return on equity (ROE), and profit margins, instead of focusing on the company's overall value, which is usually measured by things like market</w:t>
      </w:r>
      <w:r w:rsidR="009B13EA" w:rsidRPr="009B13EA">
        <w:rPr>
          <w:color w:val="FFFFFF" w:themeColor="background1"/>
        </w:rPr>
        <w:t>5</w:t>
      </w:r>
      <w:r w:rsidR="009C4773" w:rsidRPr="009C4773">
        <w:t>capitalization, share price</w:t>
      </w:r>
      <w:r w:rsidR="009B13EA" w:rsidRPr="009B13EA">
        <w:rPr>
          <w:color w:val="FFFFFF" w:themeColor="background1"/>
        </w:rPr>
        <w:t>5</w:t>
      </w:r>
      <w:r w:rsidR="009C4773" w:rsidRPr="009C4773">
        <w:t>performance, or Tobin</w:t>
      </w:r>
      <w:r w:rsidR="009B13EA">
        <w:t>’</w:t>
      </w:r>
      <w:r w:rsidR="009C4773" w:rsidRPr="009C4773">
        <w:t>s</w:t>
      </w:r>
      <w:r w:rsidR="009B13EA" w:rsidRPr="009B13EA">
        <w:rPr>
          <w:color w:val="FFFFFF" w:themeColor="background1"/>
        </w:rPr>
        <w:t>5</w:t>
      </w:r>
      <w:r w:rsidR="009C4773" w:rsidRPr="009C4773">
        <w:t>Q. Although firm</w:t>
      </w:r>
      <w:r w:rsidR="009B13EA" w:rsidRPr="009B13EA">
        <w:rPr>
          <w:color w:val="FFFFFF" w:themeColor="background1"/>
        </w:rPr>
        <w:t>5</w:t>
      </w:r>
      <w:r w:rsidR="009C4773" w:rsidRPr="009C4773">
        <w:t>performance and firm</w:t>
      </w:r>
      <w:r w:rsidR="009B13EA" w:rsidRPr="009B13EA">
        <w:rPr>
          <w:color w:val="FFFFFF" w:themeColor="background1"/>
        </w:rPr>
        <w:t>5</w:t>
      </w:r>
      <w:r w:rsidR="009C4773" w:rsidRPr="009C4773">
        <w:t>value are highly related</w:t>
      </w:r>
      <w:r w:rsidR="009B13EA">
        <w:t xml:space="preserve"> </w:t>
      </w:r>
      <w:r w:rsidR="009C4773" w:rsidRPr="009C4773">
        <w:t xml:space="preserve">because better operational performance can eventually mean better firm valuation—the two concepts are not necessarily the same. Market-based firm value measures what investors </w:t>
      </w:r>
      <w:r w:rsidR="009C4773" w:rsidRPr="009C4773">
        <w:lastRenderedPageBreak/>
        <w:t>expect the company to do in the future in terms of profitability, risk, and growth prospects, while accounting-based performance measures are concerned mostly with the historical financial results.</w:t>
      </w:r>
    </w:p>
    <w:p w14:paraId="4A9EF022" w14:textId="77777777" w:rsidR="009C4773" w:rsidRPr="009C4773" w:rsidRDefault="009C4773" w:rsidP="009C4773">
      <w:r w:rsidRPr="009C4773">
        <w:t xml:space="preserve">In addition to the conceptual gap, there are also contextual and </w:t>
      </w:r>
      <w:proofErr w:type="spellStart"/>
      <w:r w:rsidRPr="009C4773">
        <w:t>methodic</w:t>
      </w:r>
      <w:proofErr w:type="spellEnd"/>
      <w:r w:rsidRPr="009C4773">
        <w:t xml:space="preserve"> gaps in the literature. Many empirical studies on ESG and corporate outcomes have been undertaken in developed economies such as the United States, Europe, and parts of Asia, where sustainability regulations, ESG disclosure frameworks, and responsible investment practices are relatively mature. As a result, there is comparatively little evidence from emerging markets—and particularly from African capital markets. Furthermore, some of the most frequently cited papers in the ESG literature are based on relatively old data series, prior to the emergence of the rapid growth in sustainability reporting standards, ESG disclosure guidelines, and responsible investment frameworks noted recently. This data suggests that the relationship between the value of ESG firms may have evolved as concerns about sustainability have become more integrated into corporate strategy and investment decision-making.</w:t>
      </w:r>
    </w:p>
    <w:p w14:paraId="734F2CAC" w14:textId="6C41AF9E" w:rsidR="007A221E" w:rsidRDefault="009B13EA" w:rsidP="00EE65E5">
      <w:r>
        <w:t>This research focus is</w:t>
      </w:r>
      <w:r w:rsidR="009C4773" w:rsidRPr="009C4773">
        <w:t xml:space="preserve"> on firms listed at the </w:t>
      </w:r>
      <w:r>
        <w:t>NSE</w:t>
      </w:r>
      <w:r w:rsidR="009C4773" w:rsidRPr="009C4773">
        <w:t xml:space="preserve"> to address these gaps in the literature. The study's temporal scope of 3 years (2022 to 2024) offers a fresh perspective on how the relationship</w:t>
      </w:r>
      <w:r w:rsidRPr="009B13EA">
        <w:rPr>
          <w:color w:val="FFFFFF" w:themeColor="background1"/>
        </w:rPr>
        <w:t>5</w:t>
      </w:r>
      <w:r w:rsidR="009C4773" w:rsidRPr="009C4773">
        <w:t>between</w:t>
      </w:r>
      <w:r w:rsidRPr="009B13EA">
        <w:rPr>
          <w:color w:val="FFFFFF" w:themeColor="background1"/>
        </w:rPr>
        <w:t>5</w:t>
      </w:r>
      <w:r w:rsidR="009C4773" w:rsidRPr="009C4773">
        <w:t>ESG and firm</w:t>
      </w:r>
      <w:r w:rsidR="008C7C41">
        <w:rPr>
          <w:color w:val="FFFFFF" w:themeColor="background1"/>
        </w:rPr>
        <w:t>5</w:t>
      </w:r>
      <w:r w:rsidR="009C4773" w:rsidRPr="009C4773">
        <w:t>value might have developed in the recent years, where sustainability reporting is cited to have gained traction in emerging markets, like NSE</w:t>
      </w:r>
      <w:r w:rsidR="008C7C41">
        <w:t xml:space="preserve"> in</w:t>
      </w:r>
      <w:r w:rsidR="009C4773" w:rsidRPr="009C4773">
        <w:t xml:space="preserve"> Kenya</w:t>
      </w:r>
      <w:r w:rsidR="009C4773">
        <w:t>.</w:t>
      </w:r>
      <w:r w:rsidR="007A221E">
        <w:t xml:space="preserve"> </w:t>
      </w:r>
    </w:p>
    <w:p w14:paraId="594D1922" w14:textId="7221BDED" w:rsidR="00436195" w:rsidRPr="00EE65E5" w:rsidRDefault="00436195" w:rsidP="00436195">
      <w:pPr>
        <w:pStyle w:val="Heading2"/>
      </w:pPr>
      <w:bookmarkStart w:id="14" w:name="_Toc224408888"/>
      <w:r>
        <w:t>2.2 Theoretical Review</w:t>
      </w:r>
      <w:bookmarkEnd w:id="14"/>
    </w:p>
    <w:p w14:paraId="1D04DDED" w14:textId="1EF15EE7" w:rsidR="00FB7CF7" w:rsidRDefault="000A74C3" w:rsidP="00FB7CF7">
      <w:r w:rsidRPr="000A74C3">
        <w:t xml:space="preserve">To explain why ESG practices should improve firm value, the literature generally relies on several complementary theoretical perspectives. The most prominent explanations come from cost of capital theory, stakeholder theory, agency theory, and shareholder theory, which offer both </w:t>
      </w:r>
      <w:r w:rsidR="00A67E6B">
        <w:t>expectation explanations</w:t>
      </w:r>
      <w:r w:rsidRPr="000A74C3">
        <w:t xml:space="preserve"> regarding the ESG–firm value relationship.</w:t>
      </w:r>
    </w:p>
    <w:p w14:paraId="7BAAC11A" w14:textId="3FFD8040" w:rsidR="00945371" w:rsidRDefault="00945371" w:rsidP="00945371">
      <w:pPr>
        <w:pStyle w:val="Heading3"/>
      </w:pPr>
      <w:bookmarkStart w:id="15" w:name="_Toc224408889"/>
      <w:r>
        <w:t>2.2.1 Cost of Capital Theory</w:t>
      </w:r>
      <w:bookmarkEnd w:id="15"/>
    </w:p>
    <w:p w14:paraId="789BFA78" w14:textId="1AFD513D" w:rsidR="009C4773" w:rsidRDefault="009C4773" w:rsidP="009C4773">
      <w:r>
        <w:t>One of the most widely quoted explanations of why ESG practices may enhance firm value is cost of capital theory. The foundations of the cost of capital concept were laid in the modern corporate finance world by Modigliani and Miller (1958) when they considered the financing costs of firms and their valuation. The theory states that for firms with low perceived risk, they will be able to secure financing at a lower cost of equity and debt, which will further raise their overall market value</w:t>
      </w:r>
      <w:r w:rsidR="00EE68C3">
        <w:t xml:space="preserve"> </w:t>
      </w:r>
      <w:r w:rsidR="00EE68C3" w:rsidRPr="00EE68C3">
        <w:t>(Postiglione et al., 2024)</w:t>
      </w:r>
      <w:r>
        <w:t xml:space="preserve">. According to this perspective, ESG practices contribute to improving corporate transparency, as well as strengthening corporate governance </w:t>
      </w:r>
      <w:r>
        <w:lastRenderedPageBreak/>
        <w:t>structures while reducing regulatory, reputational and operational risks. As a result, investors see companies with positive ESG performance as less risky and, therefore, will provide capital at decreased required returns</w:t>
      </w:r>
      <w:r w:rsidR="00EE68C3">
        <w:t xml:space="preserve"> </w:t>
      </w:r>
      <w:r w:rsidR="00EE68C3" w:rsidRPr="00EE68C3">
        <w:t>(</w:t>
      </w:r>
      <w:proofErr w:type="spellStart"/>
      <w:r w:rsidR="00EE68C3" w:rsidRPr="00EE68C3">
        <w:t>Koutoupis</w:t>
      </w:r>
      <w:proofErr w:type="spellEnd"/>
      <w:r w:rsidR="00EE68C3" w:rsidRPr="00EE68C3">
        <w:t xml:space="preserve"> et al., 2025)</w:t>
      </w:r>
      <w:r>
        <w:t>.</w:t>
      </w:r>
    </w:p>
    <w:p w14:paraId="0CE5E22B" w14:textId="2A72AE79" w:rsidR="00945371" w:rsidRDefault="009C4773" w:rsidP="009C4773">
      <w:r>
        <w:t>From this perspective, ESG initiatives are mechanisms that reduce risk exposure and enhance investor confidence. Firms that demonstrate environmental responsibility, social accountability and transparency around their governance practices are more likely to attract long-term investors as well as responsible investment funds</w:t>
      </w:r>
      <w:r w:rsidR="00EE68C3">
        <w:t xml:space="preserve"> </w:t>
      </w:r>
      <w:r w:rsidR="00EE68C3" w:rsidRPr="00EE68C3">
        <w:t>(Narula et al., 2023)</w:t>
      </w:r>
      <w:r>
        <w:t>. Lower perceived risk translates into lower financing costs, better access to capital and thus ultimately higher firm valuation</w:t>
      </w:r>
      <w:r w:rsidR="00EE68C3">
        <w:t xml:space="preserve"> </w:t>
      </w:r>
      <w:r w:rsidR="00EE68C3" w:rsidRPr="00EE68C3">
        <w:t xml:space="preserve">(Moussa &amp; </w:t>
      </w:r>
      <w:proofErr w:type="spellStart"/>
      <w:r w:rsidR="00EE68C3" w:rsidRPr="00EE68C3">
        <w:t>Elmarzouky</w:t>
      </w:r>
      <w:proofErr w:type="spellEnd"/>
      <w:r w:rsidR="00EE68C3" w:rsidRPr="00EE68C3">
        <w:t>, 2024)</w:t>
      </w:r>
      <w:r>
        <w:t>. Consequently, cost of capital theory expects that there will be a positive relationship between ESG and firm value because better sustainability performance will reduce the financial risk and lead to a higher level of investor confidence.</w:t>
      </w:r>
    </w:p>
    <w:p w14:paraId="082E21CC" w14:textId="05103DF2" w:rsidR="00945371" w:rsidRDefault="00945371" w:rsidP="00945371">
      <w:pPr>
        <w:pStyle w:val="Heading3"/>
      </w:pPr>
      <w:bookmarkStart w:id="16" w:name="_Toc224408890"/>
      <w:r>
        <w:t>2.2.2 Stakeholder Theory</w:t>
      </w:r>
      <w:bookmarkEnd w:id="16"/>
      <w:r>
        <w:t xml:space="preserve"> </w:t>
      </w:r>
    </w:p>
    <w:p w14:paraId="4C207AEE" w14:textId="4ECD1FB4" w:rsidR="00EE68C3" w:rsidRDefault="00EE68C3" w:rsidP="00EE68C3">
      <w:r>
        <w:t>Another theoretical explanation that supports the positive relationship between ESG practices and firm value is stakeholder theory, which was initially promoted by Freeman (1984). Stakeholder theory insists that firms should respond to the interests of several groups of stakeholders,</w:t>
      </w:r>
      <w:r w:rsidR="008C7C41" w:rsidRPr="008C7C41">
        <w:rPr>
          <w:color w:val="FFFFFF" w:themeColor="background1"/>
        </w:rPr>
        <w:t>5</w:t>
      </w:r>
      <w:r>
        <w:t>such as</w:t>
      </w:r>
      <w:r w:rsidR="008C7C41" w:rsidRPr="008C7C41">
        <w:rPr>
          <w:color w:val="FFFFFF" w:themeColor="background1"/>
        </w:rPr>
        <w:t>5</w:t>
      </w:r>
      <w:r>
        <w:t>employees,</w:t>
      </w:r>
      <w:r w:rsidR="008C7C41" w:rsidRPr="008C7C41">
        <w:rPr>
          <w:color w:val="FFFFFF" w:themeColor="background1"/>
        </w:rPr>
        <w:t>5</w:t>
      </w:r>
      <w:r>
        <w:t>customers, suppliers,</w:t>
      </w:r>
      <w:r w:rsidR="008C7C41" w:rsidRPr="008C7C41">
        <w:rPr>
          <w:color w:val="FFFFFF" w:themeColor="background1"/>
        </w:rPr>
        <w:t>5</w:t>
      </w:r>
      <w:r>
        <w:t>communities and regulators, and not just focus on shareholder wealth maximisation. According to this theory, organisations that are able to manage relations with these stakeholders effectively will be more likely to achieve sustainable competitive advantage and long-term profitability</w:t>
      </w:r>
      <w:r w:rsidR="0096246C">
        <w:t xml:space="preserve"> </w:t>
      </w:r>
      <w:r w:rsidR="0096246C" w:rsidRPr="0096246C">
        <w:t>(Talan et al., 2024)</w:t>
      </w:r>
      <w:r>
        <w:t>.</w:t>
      </w:r>
    </w:p>
    <w:p w14:paraId="189A53CD" w14:textId="2DB50FAE" w:rsidR="008A08D6" w:rsidRPr="008A08D6" w:rsidRDefault="00EE68C3" w:rsidP="00EE68C3">
      <w:r>
        <w:t>From the</w:t>
      </w:r>
      <w:r w:rsidR="008C7C41" w:rsidRPr="008C7C41">
        <w:rPr>
          <w:color w:val="FFFFFF" w:themeColor="background1"/>
        </w:rPr>
        <w:t>5</w:t>
      </w:r>
      <w:r>
        <w:t>point of</w:t>
      </w:r>
      <w:r w:rsidR="008C7C41" w:rsidRPr="008C7C41">
        <w:rPr>
          <w:color w:val="FFFFFF" w:themeColor="background1"/>
        </w:rPr>
        <w:t>5</w:t>
      </w:r>
      <w:r>
        <w:t>view of the</w:t>
      </w:r>
      <w:r w:rsidR="008C7C41" w:rsidRPr="008C7C41">
        <w:rPr>
          <w:color w:val="FFFFFF" w:themeColor="background1"/>
        </w:rPr>
        <w:t>5</w:t>
      </w:r>
      <w:r>
        <w:t>stakeholder, ESG practices give the firms a framework for addressing environmental responsibilities, social expectations and governance standards that hold sway over stakeholder trust</w:t>
      </w:r>
      <w:r w:rsidR="0096246C">
        <w:t xml:space="preserve"> </w:t>
      </w:r>
      <w:r w:rsidR="0096246C" w:rsidRPr="0096246C">
        <w:t>(Lee &amp; Isa, 2020)</w:t>
      </w:r>
      <w:r>
        <w:t>. Firms that invest in environmental sustainability, ethical governance and social responsibility are more likely to build strong relationships</w:t>
      </w:r>
      <w:r w:rsidR="008C7C41" w:rsidRPr="008C7C41">
        <w:rPr>
          <w:color w:val="FFFFFF" w:themeColor="background1"/>
        </w:rPr>
        <w:t>5</w:t>
      </w:r>
      <w:r>
        <w:t>with</w:t>
      </w:r>
      <w:r w:rsidR="008C7C41" w:rsidRPr="008C7C41">
        <w:rPr>
          <w:color w:val="FFFFFF" w:themeColor="background1"/>
        </w:rPr>
        <w:t>5</w:t>
      </w:r>
      <w:r>
        <w:t>stakeholders,</w:t>
      </w:r>
      <w:r w:rsidR="008C7C41" w:rsidRPr="008C7C41">
        <w:rPr>
          <w:color w:val="FFFFFF" w:themeColor="background1"/>
        </w:rPr>
        <w:t>5</w:t>
      </w:r>
      <w:r>
        <w:t>enhance corporate reputation</w:t>
      </w:r>
      <w:r w:rsidR="008C7C41" w:rsidRPr="008C7C41">
        <w:rPr>
          <w:color w:val="FFFFFF" w:themeColor="background1"/>
        </w:rPr>
        <w:t>5</w:t>
      </w:r>
      <w:r>
        <w:t>and reduce conflicts with regulators and communities</w:t>
      </w:r>
      <w:r w:rsidR="0096246C">
        <w:t xml:space="preserve"> </w:t>
      </w:r>
      <w:r w:rsidR="0096246C" w:rsidRPr="0096246C">
        <w:t>(Gesso &amp; Lodhi, 2024)</w:t>
      </w:r>
      <w:r>
        <w:t>. These benefits can be translated into higher operational efficiency, higher brand loyalty and higher market competitiveness</w:t>
      </w:r>
      <w:r w:rsidR="0096246C">
        <w:t xml:space="preserve"> </w:t>
      </w:r>
      <w:r w:rsidR="0096246C" w:rsidRPr="0096246C">
        <w:t>(Talan et al., 2024)</w:t>
      </w:r>
      <w:r>
        <w:t>. Consequently, stakeholder theory predicts that there will be a positive relationship between ESG practices and firm value because responsible corporate behaviour increases stakeholder support and improves the long-term performance of organisations.</w:t>
      </w:r>
    </w:p>
    <w:p w14:paraId="5ADC75DA" w14:textId="38B3D53C" w:rsidR="00945371" w:rsidRDefault="008A08D6" w:rsidP="008A08D6">
      <w:pPr>
        <w:pStyle w:val="Heading3"/>
      </w:pPr>
      <w:bookmarkStart w:id="17" w:name="_Toc224408891"/>
      <w:r>
        <w:t>2.2.3 Shareholder Theory</w:t>
      </w:r>
      <w:bookmarkEnd w:id="17"/>
    </w:p>
    <w:p w14:paraId="5120465D" w14:textId="26F273CF" w:rsidR="007B4CE2" w:rsidRDefault="007B4CE2" w:rsidP="007B4CE2">
      <w:r>
        <w:t>Compared to stakeholder</w:t>
      </w:r>
      <w:r w:rsidR="008C7C41" w:rsidRPr="008C7C41">
        <w:rPr>
          <w:color w:val="FFFFFF" w:themeColor="background1"/>
        </w:rPr>
        <w:t>5</w:t>
      </w:r>
      <w:r>
        <w:t>theory, the shareholders theory provides a more enlightening outlook with regard</w:t>
      </w:r>
      <w:r w:rsidR="008C7C41" w:rsidRPr="008C7C41">
        <w:rPr>
          <w:color w:val="FFFFFF" w:themeColor="background1"/>
        </w:rPr>
        <w:t>5</w:t>
      </w:r>
      <w:r>
        <w:t>to</w:t>
      </w:r>
      <w:r w:rsidR="008C7C41" w:rsidRPr="008C7C41">
        <w:rPr>
          <w:color w:val="FFFFFF" w:themeColor="background1"/>
        </w:rPr>
        <w:t>5</w:t>
      </w:r>
      <w:r>
        <w:t>effect of ESG</w:t>
      </w:r>
      <w:r w:rsidR="008C7C41" w:rsidRPr="008C7C41">
        <w:rPr>
          <w:color w:val="FFFFFF" w:themeColor="background1"/>
        </w:rPr>
        <w:t>5</w:t>
      </w:r>
      <w:r>
        <w:t xml:space="preserve">practices on firm value. Friedman (1970) strongly put forward </w:t>
      </w:r>
      <w:r>
        <w:lastRenderedPageBreak/>
        <w:t>the theory and he suggested that the main objective of a business</w:t>
      </w:r>
      <w:r w:rsidR="008C7C41" w:rsidRPr="008C7C41">
        <w:rPr>
          <w:color w:val="FFFFFF" w:themeColor="background1"/>
        </w:rPr>
        <w:t>5</w:t>
      </w:r>
      <w:r>
        <w:t>is to maximise the</w:t>
      </w:r>
      <w:r w:rsidR="008C7C41" w:rsidRPr="008C7C41">
        <w:rPr>
          <w:color w:val="FFFFFF" w:themeColor="background1"/>
        </w:rPr>
        <w:t>5</w:t>
      </w:r>
      <w:r>
        <w:t>wealth of shareholders but</w:t>
      </w:r>
      <w:r w:rsidR="008C7C41" w:rsidRPr="008C7C41">
        <w:rPr>
          <w:color w:val="FFFFFF" w:themeColor="background1"/>
        </w:rPr>
        <w:t>5</w:t>
      </w:r>
      <w:r>
        <w:t>this subject is subject to the law. The idea behind this perspective is that corporate managers need to concentrate on profit generation, and not social or environmental agendas. Any way the corporate resources are diverted to social or environmental projects could diminish the profitability and go against the core goal of creating shareholder wealth</w:t>
      </w:r>
      <w:r w:rsidR="00A45706">
        <w:t xml:space="preserve"> </w:t>
      </w:r>
      <w:r w:rsidR="00A45706" w:rsidRPr="00A45706">
        <w:t>(</w:t>
      </w:r>
      <w:proofErr w:type="spellStart"/>
      <w:r w:rsidR="00A45706" w:rsidRPr="00A45706">
        <w:t>Zumente</w:t>
      </w:r>
      <w:proofErr w:type="spellEnd"/>
      <w:r w:rsidR="00A45706" w:rsidRPr="00A45706">
        <w:t xml:space="preserve"> &amp; </w:t>
      </w:r>
      <w:proofErr w:type="spellStart"/>
      <w:r w:rsidR="00A45706" w:rsidRPr="00A45706">
        <w:t>Bistrova</w:t>
      </w:r>
      <w:proofErr w:type="spellEnd"/>
      <w:r w:rsidR="00A45706" w:rsidRPr="00A45706">
        <w:t>, 2021)</w:t>
      </w:r>
      <w:r>
        <w:t>.</w:t>
      </w:r>
    </w:p>
    <w:p w14:paraId="5B5EA517" w14:textId="366DC159" w:rsidR="008A08D6" w:rsidRDefault="007B4CE2" w:rsidP="007B4CE2">
      <w:r>
        <w:t>Within the shareholder theory, ESG activities can create more operation costs that decrease the efficiency and profitability of firms. Environmental protection, sustainability reporting and social responsibility programme investments might demand considerable amount of money without necessarily providing immediate financial payouts</w:t>
      </w:r>
      <w:r w:rsidR="00A45706">
        <w:t xml:space="preserve"> </w:t>
      </w:r>
      <w:r w:rsidR="00A45706" w:rsidRPr="00A45706">
        <w:t>(</w:t>
      </w:r>
      <w:proofErr w:type="spellStart"/>
      <w:r w:rsidR="00A45706" w:rsidRPr="00A45706">
        <w:t>Zumente</w:t>
      </w:r>
      <w:proofErr w:type="spellEnd"/>
      <w:r w:rsidR="00A45706" w:rsidRPr="00A45706">
        <w:t xml:space="preserve"> &amp; </w:t>
      </w:r>
      <w:proofErr w:type="spellStart"/>
      <w:r w:rsidR="00A45706" w:rsidRPr="00A45706">
        <w:t>Bistrova</w:t>
      </w:r>
      <w:proofErr w:type="spellEnd"/>
      <w:r w:rsidR="00A45706" w:rsidRPr="00A45706">
        <w:t>, 2021)</w:t>
      </w:r>
      <w:r>
        <w:t>. This means that companies that invest too much of their resources in ESG operations can be less competitive than companies that only concentrate on profit-maximising operations</w:t>
      </w:r>
      <w:r w:rsidR="00A45706">
        <w:t xml:space="preserve"> </w:t>
      </w:r>
      <w:r w:rsidR="00A45706" w:rsidRPr="00A45706">
        <w:t>(Wong et al., 2020)</w:t>
      </w:r>
      <w:r>
        <w:t>. Thus, the shareholder</w:t>
      </w:r>
      <w:r w:rsidR="00F50A05" w:rsidRPr="00F50A05">
        <w:rPr>
          <w:color w:val="FFFFFF" w:themeColor="background1"/>
        </w:rPr>
        <w:t>5</w:t>
      </w:r>
      <w:r>
        <w:t>theory predetermines the negative correlation between the ESG practices and firm value, especially when the sustainability activities raise expenses without generating the objective financial outcomes</w:t>
      </w:r>
      <w:r w:rsidR="008A08D6" w:rsidRPr="008A08D6">
        <w:t>.</w:t>
      </w:r>
    </w:p>
    <w:p w14:paraId="22A06349" w14:textId="25F767E4" w:rsidR="008A08D6" w:rsidRDefault="008A08D6" w:rsidP="008A08D6">
      <w:pPr>
        <w:pStyle w:val="Heading3"/>
      </w:pPr>
      <w:bookmarkStart w:id="18" w:name="_Toc224408892"/>
      <w:r>
        <w:t>2.2.4 Agency Theory</w:t>
      </w:r>
      <w:bookmarkEnd w:id="18"/>
      <w:r>
        <w:t xml:space="preserve"> </w:t>
      </w:r>
    </w:p>
    <w:p w14:paraId="3373D4B4" w14:textId="4BAB00E5" w:rsidR="00A45706" w:rsidRDefault="00A45706" w:rsidP="00A45706">
      <w:r>
        <w:t>The other theoretical model employed to explain the</w:t>
      </w:r>
      <w:r w:rsidR="00F50A05" w:rsidRPr="00F50A05">
        <w:rPr>
          <w:color w:val="FFFFFF" w:themeColor="background1"/>
        </w:rPr>
        <w:t>5</w:t>
      </w:r>
      <w:r>
        <w:t>relationship</w:t>
      </w:r>
      <w:r w:rsidR="00F50A05" w:rsidRPr="00F50A05">
        <w:rPr>
          <w:color w:val="FFFFFF" w:themeColor="background1"/>
        </w:rPr>
        <w:t>5</w:t>
      </w:r>
      <w:r>
        <w:t>between</w:t>
      </w:r>
      <w:r w:rsidR="00F50A05" w:rsidRPr="00F50A05">
        <w:rPr>
          <w:color w:val="FFFFFF" w:themeColor="background1"/>
        </w:rPr>
        <w:t>5</w:t>
      </w:r>
      <w:r>
        <w:t>ESG and the firm is the agency theory that was</w:t>
      </w:r>
      <w:r w:rsidR="00F50A05" w:rsidRPr="00F50A05">
        <w:rPr>
          <w:color w:val="FFFFFF" w:themeColor="background1"/>
        </w:rPr>
        <w:t>5</w:t>
      </w:r>
      <w:r>
        <w:t>developed</w:t>
      </w:r>
      <w:r w:rsidR="00F50A05" w:rsidRPr="00F50A05">
        <w:rPr>
          <w:color w:val="FFFFFF" w:themeColor="background1"/>
        </w:rPr>
        <w:t>5</w:t>
      </w:r>
      <w:r>
        <w:t>by Jensen</w:t>
      </w:r>
      <w:r w:rsidR="00F50A05" w:rsidRPr="00F50A05">
        <w:rPr>
          <w:color w:val="FFFFFF" w:themeColor="background1"/>
        </w:rPr>
        <w:t>5</w:t>
      </w:r>
      <w:r>
        <w:t>and Meckling (1976). The agency theory is the study of the conflict of interests between the shareholders (principals) and the managers (agents) as a result of information asymmetry and goal differences. Under this theory, managers can be guilty of engaging in certain activities that could be in their own interest to achieve a reputation other than ensuring shareholders wealth is maximized. The motivations of the managers may thus be seen to be two-sided in terms of the way ESG initiatives are interpreted</w:t>
      </w:r>
      <w:r w:rsidR="007F243C">
        <w:t xml:space="preserve"> </w:t>
      </w:r>
      <w:r w:rsidR="007F243C" w:rsidRPr="007F243C">
        <w:t>(Lee &amp; Isa, 2020)</w:t>
      </w:r>
      <w:r>
        <w:t>.</w:t>
      </w:r>
    </w:p>
    <w:p w14:paraId="7C4CB560" w14:textId="40E2EB8C" w:rsidR="008A08D6" w:rsidRDefault="00A45706" w:rsidP="00A45706">
      <w:r>
        <w:t>On one hand, ESG disclosures have the potential to increase transparency and decrease information asymmetry between the managers and investors, which improves corporate governance and investor confidence. In this view, ESG reporting is a message of responsible management of the business, which is in line with signalling theory (Spence, 1973), which states that companies report their information to send a message to the market about their quality</w:t>
      </w:r>
      <w:r w:rsidR="007F243C">
        <w:t xml:space="preserve"> </w:t>
      </w:r>
      <w:r w:rsidR="007F243C" w:rsidRPr="007F243C">
        <w:t>(Lee &amp; Isa, 2020)</w:t>
      </w:r>
      <w:r>
        <w:t>. Conversely, managers can also take advantage of ESG activities to boost personal reputation or achieve legitimacy without boosting financial performance</w:t>
      </w:r>
      <w:r w:rsidR="007F243C">
        <w:t xml:space="preserve"> </w:t>
      </w:r>
      <w:r w:rsidR="007F243C" w:rsidRPr="007F243C">
        <w:t>(Gesso &amp; Lodhi, 2024)</w:t>
      </w:r>
      <w:r>
        <w:t xml:space="preserve">. Thus, agency and signalling theories imply that the ESG-firm value </w:t>
      </w:r>
      <w:r>
        <w:lastRenderedPageBreak/>
        <w:t>relationship can be of mixed-type or conditional according to whether the ESG practices have a real benefit of enhancing corporate governance and risk management or are only symbolic managerial measures</w:t>
      </w:r>
      <w:r w:rsidR="008A08D6" w:rsidRPr="008A08D6">
        <w:t>.</w:t>
      </w:r>
    </w:p>
    <w:p w14:paraId="20C8348A" w14:textId="3EA35637" w:rsidR="00A67E6B" w:rsidRDefault="00A67E6B" w:rsidP="003B0C82">
      <w:pPr>
        <w:pStyle w:val="Heading2"/>
      </w:pPr>
      <w:bookmarkStart w:id="19" w:name="_Toc224408893"/>
      <w:r>
        <w:t xml:space="preserve">2.3 </w:t>
      </w:r>
      <w:r w:rsidR="003B0C82">
        <w:t>Hypotheses Development and Conceptual Framework</w:t>
      </w:r>
      <w:bookmarkEnd w:id="19"/>
    </w:p>
    <w:p w14:paraId="365F96EE" w14:textId="76F4B200" w:rsidR="00C5404E" w:rsidRDefault="00C5404E" w:rsidP="00C5404E">
      <w:r w:rsidRPr="00C5404E">
        <w:t>The proposed relationship</w:t>
      </w:r>
      <w:r w:rsidR="00F50A05" w:rsidRPr="00F50A05">
        <w:rPr>
          <w:color w:val="FFFFFF" w:themeColor="background1"/>
        </w:rPr>
        <w:t>5</w:t>
      </w:r>
      <w:r w:rsidRPr="00C5404E">
        <w:t>between the</w:t>
      </w:r>
      <w:r w:rsidR="00F50A05" w:rsidRPr="00F50A05">
        <w:rPr>
          <w:color w:val="FFFFFF" w:themeColor="background1"/>
        </w:rPr>
        <w:t>5</w:t>
      </w:r>
      <w:r w:rsidRPr="00C5404E">
        <w:t xml:space="preserve">ESG strategy implementation and the market value of listed firms in the </w:t>
      </w:r>
      <w:r w:rsidR="00F50A05">
        <w:t>NSE</w:t>
      </w:r>
      <w:r w:rsidRPr="00C5404E">
        <w:t xml:space="preserve"> is explicated in the conceptual framework presented in Figure 2.1. Environmental initiatives are corporate actions to decrease environmental footprint and advance sustainable use of resources. Such initiatives are the carbon emission reduction programmes, environmental sustainability projects, and environment disclosure practices</w:t>
      </w:r>
      <w:r>
        <w:t xml:space="preserve"> </w:t>
      </w:r>
      <w:r w:rsidRPr="00C5404E">
        <w:t>(Lee &amp; Isa, 2020). The reward of the firms investing in environmental sustainability could be an increase in the efficiency of the operations, adherence to the regulations and reputation of the corporate name</w:t>
      </w:r>
      <w:r>
        <w:t xml:space="preserve"> </w:t>
      </w:r>
      <w:r w:rsidRPr="00C5404E">
        <w:t>(Cheng et al., 2023). Proactive risk management also can be indicated by environmental responsibility, and help lessen regulatory punishment and environmental liability. In the view of capital markets, environmental transparency and carbon disclosure give investors good information on the environmental risks and the sustainability of a specific firm</w:t>
      </w:r>
      <w:r>
        <w:t xml:space="preserve"> </w:t>
      </w:r>
      <w:r w:rsidRPr="00C5404E">
        <w:t xml:space="preserve">(Moussa &amp; </w:t>
      </w:r>
      <w:proofErr w:type="spellStart"/>
      <w:r w:rsidRPr="00C5404E">
        <w:t>Elmarzouky</w:t>
      </w:r>
      <w:proofErr w:type="spellEnd"/>
      <w:r w:rsidRPr="00C5404E">
        <w:t>, 2024). Companies that are highly environmental can thus appeal to shareholders who are responsible and enhance the share prices. It was also found through empirical research that when firms report environmental information, they tend to have increased investor confidence and firm value.</w:t>
      </w:r>
    </w:p>
    <w:p w14:paraId="39517376" w14:textId="2A542163" w:rsidR="00F50A05" w:rsidRDefault="00F50A05" w:rsidP="00F50A05">
      <w:pPr>
        <w:ind w:left="709"/>
      </w:pPr>
      <w:r w:rsidRPr="00F50A05">
        <w:rPr>
          <w:noProof/>
        </w:rPr>
        <w:drawing>
          <wp:inline distT="0" distB="0" distL="0" distR="0" wp14:anchorId="78919905" wp14:editId="04A84EA7">
            <wp:extent cx="5319221" cy="464860"/>
            <wp:effectExtent l="0" t="0" r="0" b="0"/>
            <wp:docPr id="304475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475338" name=""/>
                    <pic:cNvPicPr/>
                  </pic:nvPicPr>
                  <pic:blipFill>
                    <a:blip r:embed="rId11"/>
                    <a:stretch>
                      <a:fillRect/>
                    </a:stretch>
                  </pic:blipFill>
                  <pic:spPr>
                    <a:xfrm>
                      <a:off x="0" y="0"/>
                      <a:ext cx="5319221" cy="464860"/>
                    </a:xfrm>
                    <a:prstGeom prst="rect">
                      <a:avLst/>
                    </a:prstGeom>
                  </pic:spPr>
                </pic:pic>
              </a:graphicData>
            </a:graphic>
          </wp:inline>
        </w:drawing>
      </w:r>
    </w:p>
    <w:p w14:paraId="271987D5" w14:textId="3E49F00A" w:rsidR="00273F90" w:rsidRPr="00273F90" w:rsidRDefault="00C5404E" w:rsidP="00273F90">
      <w:r w:rsidRPr="00C5404E">
        <w:t>Social responsibility programs are corporate activities that embrace social expectations of the stakeholders such as communal development, employee welfare as well as moral business practice</w:t>
      </w:r>
      <w:r w:rsidR="00C04C07">
        <w:t xml:space="preserve"> </w:t>
      </w:r>
      <w:r w:rsidR="00C04C07" w:rsidRPr="00C04C07">
        <w:t>(</w:t>
      </w:r>
      <w:proofErr w:type="spellStart"/>
      <w:r w:rsidR="00C04C07" w:rsidRPr="00C04C07">
        <w:t>Zumente</w:t>
      </w:r>
      <w:proofErr w:type="spellEnd"/>
      <w:r w:rsidR="00C04C07" w:rsidRPr="00C04C07">
        <w:t xml:space="preserve"> &amp; </w:t>
      </w:r>
      <w:proofErr w:type="spellStart"/>
      <w:r w:rsidR="00C04C07" w:rsidRPr="00C04C07">
        <w:t>Bistrova</w:t>
      </w:r>
      <w:proofErr w:type="spellEnd"/>
      <w:r w:rsidR="00C04C07" w:rsidRPr="00C04C07">
        <w:t>, 2021)</w:t>
      </w:r>
      <w:r w:rsidRPr="00C5404E">
        <w:t>. These are meant to enhance the relationship that exists between firms and their stakeholders hence enhancing corporate legitimacy and reputation. It is possible that firms that participate actively in their social responsibility programmes can achieve better brand loyalty, enhanced employee engagement and customer trust. Investment wise, social responsibility efforts can be used to indicate long</w:t>
      </w:r>
      <w:r w:rsidR="00F50A05" w:rsidRPr="00F50A05">
        <w:rPr>
          <w:color w:val="FFFFFF" w:themeColor="background1"/>
        </w:rPr>
        <w:t>5</w:t>
      </w:r>
      <w:r w:rsidRPr="00C5404E">
        <w:t>term</w:t>
      </w:r>
      <w:r w:rsidR="00F50A05" w:rsidRPr="00F50A05">
        <w:rPr>
          <w:color w:val="FFFFFF" w:themeColor="background1"/>
        </w:rPr>
        <w:t>5</w:t>
      </w:r>
      <w:r w:rsidRPr="00C5404E">
        <w:t xml:space="preserve">sustainability and ethical corporate </w:t>
      </w:r>
      <w:r w:rsidR="00C04C07" w:rsidRPr="00C5404E">
        <w:t>behaviour</w:t>
      </w:r>
      <w:r w:rsidRPr="00C5404E">
        <w:t xml:space="preserve"> to the investors</w:t>
      </w:r>
      <w:r w:rsidR="00C04C07">
        <w:t xml:space="preserve"> </w:t>
      </w:r>
      <w:r w:rsidR="00C04C07" w:rsidRPr="00C04C07">
        <w:t>(Talan et al., 2024)</w:t>
      </w:r>
      <w:r w:rsidRPr="00C5404E">
        <w:t>. When companies have good relations with communities and employees, chances of reputational crisis and labour disputes or stakeholder conflicts are minimized thus organisations will not experience such problems that can have a negative impact on financial performance</w:t>
      </w:r>
      <w:r w:rsidR="005F1404">
        <w:t xml:space="preserve"> </w:t>
      </w:r>
      <w:r w:rsidR="005F1404" w:rsidRPr="005F1404">
        <w:t>(Wong et al., 2020)</w:t>
      </w:r>
      <w:r w:rsidRPr="00C5404E">
        <w:t xml:space="preserve">. As a result, </w:t>
      </w:r>
      <w:r w:rsidRPr="00C5404E">
        <w:lastRenderedPageBreak/>
        <w:t>companies that make social responsibility a high priority might increase their perception to the investors and improve their market value</w:t>
      </w:r>
      <w:r w:rsidR="00273F90" w:rsidRPr="00273F90">
        <w:t>.</w:t>
      </w:r>
    </w:p>
    <w:p w14:paraId="197CC1AF" w14:textId="77777777" w:rsidR="00273F90" w:rsidRDefault="00273F90" w:rsidP="00273F90">
      <w:pPr>
        <w:ind w:left="720"/>
      </w:pPr>
      <w:r w:rsidRPr="00273F90">
        <w:rPr>
          <w:b/>
          <w:bCs/>
        </w:rPr>
        <w:t>H2:</w:t>
      </w:r>
      <w:r w:rsidRPr="00273F90">
        <w:t xml:space="preserve"> Social responsibility initiatives have a significant influence on the market value of firms listed at the Nairobi Securities Exchange.</w:t>
      </w:r>
    </w:p>
    <w:p w14:paraId="2B87006F" w14:textId="028B2A13" w:rsidR="00273F90" w:rsidRDefault="005F1404" w:rsidP="00B82F23">
      <w:r w:rsidRPr="005F1404">
        <w:t>Governance transparency is a measure of how firms have accountable, ethical and transparent corporate governance systems. It consists of practices like the independence of boards, transparent reporting, good internal controls and reporting of governance policies</w:t>
      </w:r>
      <w:r>
        <w:t xml:space="preserve"> </w:t>
      </w:r>
      <w:r w:rsidRPr="005F1404">
        <w:t>(</w:t>
      </w:r>
      <w:proofErr w:type="spellStart"/>
      <w:r w:rsidRPr="005F1404">
        <w:t>Koutoupis</w:t>
      </w:r>
      <w:proofErr w:type="spellEnd"/>
      <w:r w:rsidRPr="005F1404">
        <w:t xml:space="preserve"> et al., 2025). Effective governance systems are able to mitigate agency problems between managers and shareholders because they enhance checks and balances in the decision-making process in corporations</w:t>
      </w:r>
      <w:r>
        <w:t xml:space="preserve"> </w:t>
      </w:r>
      <w:r w:rsidRPr="005F1404">
        <w:t>(</w:t>
      </w:r>
      <w:proofErr w:type="spellStart"/>
      <w:r w:rsidRPr="005F1404">
        <w:t>Aydogmus</w:t>
      </w:r>
      <w:proofErr w:type="spellEnd"/>
      <w:r w:rsidRPr="005F1404">
        <w:t xml:space="preserve"> et al., 2022). Governance transparency is also a major issue in capital market as it minimizes information asymmetry between investors and companies. Companies with transparent systems of governance are usually viewed as more credible and less likely to be affected by managerial opportunism</w:t>
      </w:r>
      <w:r>
        <w:t xml:space="preserve"> </w:t>
      </w:r>
      <w:r w:rsidRPr="005F1404">
        <w:t>(Gesso &amp; Lodhi, 2024). Investors can therefore tend to place greater values on companies that have good governance practices since they will be better placed to say risks and be able to create long term values</w:t>
      </w:r>
      <w:r w:rsidR="00B82F23" w:rsidRPr="00B82F23">
        <w:t>.</w:t>
      </w:r>
    </w:p>
    <w:p w14:paraId="280E3AE5" w14:textId="773D1A7E" w:rsidR="00453F06" w:rsidRPr="00B82F23" w:rsidRDefault="00453F06" w:rsidP="00B82F23">
      <w:pPr>
        <w:ind w:left="720"/>
      </w:pPr>
      <w:r w:rsidRPr="00453F06">
        <w:rPr>
          <w:noProof/>
        </w:rPr>
        <w:drawing>
          <wp:inline distT="0" distB="0" distL="0" distR="0" wp14:anchorId="7E2E5193" wp14:editId="51FC73B4">
            <wp:extent cx="5311600" cy="441998"/>
            <wp:effectExtent l="0" t="0" r="3810" b="0"/>
            <wp:docPr id="16741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908" name=""/>
                    <pic:cNvPicPr/>
                  </pic:nvPicPr>
                  <pic:blipFill>
                    <a:blip r:embed="rId12"/>
                    <a:stretch>
                      <a:fillRect/>
                    </a:stretch>
                  </pic:blipFill>
                  <pic:spPr>
                    <a:xfrm>
                      <a:off x="0" y="0"/>
                      <a:ext cx="5311600" cy="441998"/>
                    </a:xfrm>
                    <a:prstGeom prst="rect">
                      <a:avLst/>
                    </a:prstGeom>
                  </pic:spPr>
                </pic:pic>
              </a:graphicData>
            </a:graphic>
          </wp:inline>
        </w:drawing>
      </w:r>
    </w:p>
    <w:p w14:paraId="038D5F12" w14:textId="52011F9E" w:rsidR="00B82F23" w:rsidRDefault="00DC57A5" w:rsidP="00B82F23">
      <w:r>
        <w:rPr>
          <w:noProof/>
        </w:rPr>
        <w:lastRenderedPageBreak/>
        <mc:AlternateContent>
          <mc:Choice Requires="wpc">
            <w:drawing>
              <wp:inline distT="0" distB="0" distL="0" distR="0" wp14:anchorId="1026C200" wp14:editId="25F4AC7E">
                <wp:extent cx="5676900" cy="4472940"/>
                <wp:effectExtent l="0" t="0" r="0" b="3810"/>
                <wp:docPr id="91658615"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836608043" name="Text Box 1836608043"/>
                        <wps:cNvSpPr txBox="1"/>
                        <wps:spPr>
                          <a:xfrm>
                            <a:off x="228600" y="243840"/>
                            <a:ext cx="2125980" cy="1104900"/>
                          </a:xfrm>
                          <a:prstGeom prst="rect">
                            <a:avLst/>
                          </a:prstGeom>
                          <a:solidFill>
                            <a:schemeClr val="lt1"/>
                          </a:solidFill>
                          <a:ln w="6350">
                            <a:solidFill>
                              <a:prstClr val="black"/>
                            </a:solidFill>
                          </a:ln>
                        </wps:spPr>
                        <wps:txbx>
                          <w:txbxContent>
                            <w:p w14:paraId="6CC5F485" w14:textId="204058CC" w:rsidR="00DC57A5" w:rsidRPr="00DC57A5" w:rsidRDefault="00DC57A5">
                              <w:pPr>
                                <w:rPr>
                                  <w:b/>
                                  <w:bCs/>
                                </w:rPr>
                              </w:pPr>
                              <w:r w:rsidRPr="00DC57A5">
                                <w:rPr>
                                  <w:b/>
                                  <w:bCs/>
                                </w:rPr>
                                <w:t xml:space="preserve">Environment </w:t>
                              </w:r>
                              <w:r w:rsidR="00184640">
                                <w:rPr>
                                  <w:b/>
                                  <w:bCs/>
                                </w:rPr>
                                <w:t>Reporting</w:t>
                              </w:r>
                              <w:r w:rsidRPr="00DC57A5">
                                <w:rPr>
                                  <w:b/>
                                  <w:bCs/>
                                </w:rPr>
                                <w:t>:</w:t>
                              </w:r>
                            </w:p>
                            <w:p w14:paraId="3F2C46E0" w14:textId="3CEA9B83" w:rsidR="00DC57A5" w:rsidRDefault="00DC57A5" w:rsidP="00DC57A5">
                              <w:pPr>
                                <w:pStyle w:val="ListParagraph"/>
                                <w:numPr>
                                  <w:ilvl w:val="0"/>
                                  <w:numId w:val="10"/>
                                </w:numPr>
                              </w:pPr>
                              <w:r>
                                <w:t>Carbon disclosure</w:t>
                              </w:r>
                            </w:p>
                            <w:p w14:paraId="769AC673" w14:textId="46EE3B4A" w:rsidR="00DC57A5" w:rsidRDefault="00DC57A5" w:rsidP="00DC57A5">
                              <w:pPr>
                                <w:pStyle w:val="ListParagraph"/>
                                <w:numPr>
                                  <w:ilvl w:val="0"/>
                                  <w:numId w:val="10"/>
                                </w:numPr>
                              </w:pPr>
                              <w:r>
                                <w:t>Sustainability projects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3580517" name="Text Box 1"/>
                        <wps:cNvSpPr txBox="1"/>
                        <wps:spPr>
                          <a:xfrm>
                            <a:off x="210480" y="1505880"/>
                            <a:ext cx="2156460" cy="1580220"/>
                          </a:xfrm>
                          <a:prstGeom prst="rect">
                            <a:avLst/>
                          </a:prstGeom>
                          <a:solidFill>
                            <a:schemeClr val="lt1"/>
                          </a:solidFill>
                          <a:ln w="6350">
                            <a:solidFill>
                              <a:prstClr val="black"/>
                            </a:solidFill>
                          </a:ln>
                        </wps:spPr>
                        <wps:txbx>
                          <w:txbxContent>
                            <w:p w14:paraId="46F2CB1C" w14:textId="50C3D0F1" w:rsidR="00DC57A5" w:rsidRDefault="00DC57A5" w:rsidP="00DC57A5">
                              <w:pPr>
                                <w:rPr>
                                  <w:rFonts w:eastAsia="Calibri"/>
                                  <w:b/>
                                  <w:bCs/>
                                  <w:szCs w:val="24"/>
                                </w:rPr>
                              </w:pPr>
                              <w:r>
                                <w:rPr>
                                  <w:rFonts w:eastAsia="Calibri"/>
                                  <w:b/>
                                  <w:bCs/>
                                </w:rPr>
                                <w:t xml:space="preserve">Social </w:t>
                              </w:r>
                              <w:r w:rsidR="00184640">
                                <w:rPr>
                                  <w:rFonts w:eastAsia="Calibri"/>
                                  <w:b/>
                                  <w:bCs/>
                                </w:rPr>
                                <w:t>Reporting</w:t>
                              </w:r>
                              <w:r>
                                <w:rPr>
                                  <w:rFonts w:eastAsia="Calibri"/>
                                  <w:b/>
                                  <w:bCs/>
                                </w:rPr>
                                <w:t>:</w:t>
                              </w:r>
                            </w:p>
                            <w:p w14:paraId="6352EF11" w14:textId="21B5E9BC" w:rsidR="00DC57A5" w:rsidRDefault="00DC57A5" w:rsidP="00DC57A5">
                              <w:pPr>
                                <w:pStyle w:val="ListParagraph"/>
                                <w:numPr>
                                  <w:ilvl w:val="0"/>
                                  <w:numId w:val="11"/>
                                </w:numPr>
                                <w:spacing w:before="0" w:after="0"/>
                                <w:rPr>
                                  <w:rFonts w:eastAsia="Calibri"/>
                                </w:rPr>
                              </w:pPr>
                              <w:r>
                                <w:rPr>
                                  <w:rFonts w:eastAsia="Calibri"/>
                                </w:rPr>
                                <w:t>CSR spending</w:t>
                              </w:r>
                            </w:p>
                            <w:p w14:paraId="2A9F5BEF" w14:textId="59A29924" w:rsidR="00DC57A5" w:rsidRDefault="00DC57A5" w:rsidP="00DC57A5">
                              <w:pPr>
                                <w:pStyle w:val="ListParagraph"/>
                                <w:numPr>
                                  <w:ilvl w:val="0"/>
                                  <w:numId w:val="11"/>
                                </w:numPr>
                                <w:spacing w:before="0" w:after="0"/>
                                <w:rPr>
                                  <w:rFonts w:eastAsia="Calibri"/>
                                </w:rPr>
                              </w:pPr>
                              <w:r>
                                <w:rPr>
                                  <w:rFonts w:eastAsia="Calibri"/>
                                </w:rPr>
                                <w:t>Community programmes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05716174" name="Text Box 1"/>
                        <wps:cNvSpPr txBox="1"/>
                        <wps:spPr>
                          <a:xfrm>
                            <a:off x="210480" y="3159420"/>
                            <a:ext cx="2156460" cy="1062060"/>
                          </a:xfrm>
                          <a:prstGeom prst="rect">
                            <a:avLst/>
                          </a:prstGeom>
                          <a:solidFill>
                            <a:schemeClr val="lt1"/>
                          </a:solidFill>
                          <a:ln w="6350">
                            <a:solidFill>
                              <a:prstClr val="black"/>
                            </a:solidFill>
                          </a:ln>
                        </wps:spPr>
                        <wps:txbx>
                          <w:txbxContent>
                            <w:p w14:paraId="3C6A0329" w14:textId="721A1A2F" w:rsidR="006854CB" w:rsidRDefault="006854CB" w:rsidP="006854CB">
                              <w:pPr>
                                <w:rPr>
                                  <w:rFonts w:eastAsia="Calibri"/>
                                  <w:b/>
                                  <w:bCs/>
                                  <w:szCs w:val="24"/>
                                </w:rPr>
                              </w:pPr>
                              <w:r>
                                <w:rPr>
                                  <w:rFonts w:eastAsia="Calibri"/>
                                  <w:b/>
                                  <w:bCs/>
                                </w:rPr>
                                <w:t xml:space="preserve">Governance </w:t>
                              </w:r>
                              <w:r w:rsidR="00184640">
                                <w:rPr>
                                  <w:rFonts w:eastAsia="Calibri"/>
                                  <w:b/>
                                  <w:bCs/>
                                </w:rPr>
                                <w:t>Reporting</w:t>
                              </w:r>
                              <w:r>
                                <w:rPr>
                                  <w:rFonts w:eastAsia="Calibri"/>
                                  <w:b/>
                                  <w:bCs/>
                                </w:rPr>
                                <w:t>:</w:t>
                              </w:r>
                            </w:p>
                            <w:p w14:paraId="3150D4D3" w14:textId="2B5DDE6C" w:rsidR="006854CB" w:rsidRDefault="006854CB" w:rsidP="006854CB">
                              <w:pPr>
                                <w:pStyle w:val="ListParagraph"/>
                                <w:numPr>
                                  <w:ilvl w:val="0"/>
                                  <w:numId w:val="12"/>
                                </w:numPr>
                                <w:tabs>
                                  <w:tab w:val="left" w:pos="720"/>
                                </w:tabs>
                                <w:spacing w:before="0" w:after="0"/>
                                <w:rPr>
                                  <w:rFonts w:eastAsia="Calibri"/>
                                </w:rPr>
                              </w:pPr>
                              <w:r>
                                <w:rPr>
                                  <w:rFonts w:eastAsia="Calibri"/>
                                </w:rPr>
                                <w:t>ESG disclosure</w:t>
                              </w:r>
                            </w:p>
                            <w:p w14:paraId="3BAE6A10" w14:textId="4F4856C7" w:rsidR="006854CB" w:rsidRDefault="006854CB" w:rsidP="006854CB">
                              <w:pPr>
                                <w:pStyle w:val="ListParagraph"/>
                                <w:numPr>
                                  <w:ilvl w:val="0"/>
                                  <w:numId w:val="12"/>
                                </w:numPr>
                                <w:tabs>
                                  <w:tab w:val="left" w:pos="720"/>
                                </w:tabs>
                                <w:spacing w:before="0" w:after="0"/>
                                <w:rPr>
                                  <w:rFonts w:eastAsia="Calibri"/>
                                </w:rPr>
                              </w:pPr>
                              <w:r>
                                <w:rPr>
                                  <w:rFonts w:eastAsia="Calibri"/>
                                </w:rPr>
                                <w:t>Reporting quality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539533" name="Text Box 1"/>
                        <wps:cNvSpPr txBox="1"/>
                        <wps:spPr>
                          <a:xfrm>
                            <a:off x="3304200" y="1764960"/>
                            <a:ext cx="2156460" cy="1104900"/>
                          </a:xfrm>
                          <a:prstGeom prst="rect">
                            <a:avLst/>
                          </a:prstGeom>
                          <a:solidFill>
                            <a:schemeClr val="lt1"/>
                          </a:solidFill>
                          <a:ln w="6350">
                            <a:solidFill>
                              <a:prstClr val="black"/>
                            </a:solidFill>
                          </a:ln>
                        </wps:spPr>
                        <wps:txbx>
                          <w:txbxContent>
                            <w:p w14:paraId="1BD0BD48" w14:textId="678188E6" w:rsidR="006854CB" w:rsidRDefault="006854CB" w:rsidP="006854CB">
                              <w:pPr>
                                <w:rPr>
                                  <w:rFonts w:eastAsia="Calibri"/>
                                  <w:b/>
                                  <w:bCs/>
                                  <w:szCs w:val="24"/>
                                </w:rPr>
                              </w:pPr>
                              <w:r>
                                <w:rPr>
                                  <w:rFonts w:eastAsia="Calibri"/>
                                  <w:b/>
                                  <w:bCs/>
                                </w:rPr>
                                <w:t>Firm value:</w:t>
                              </w:r>
                            </w:p>
                            <w:p w14:paraId="64A606A7" w14:textId="58646DFE" w:rsidR="006854CB" w:rsidRDefault="006854CB" w:rsidP="006854CB">
                              <w:pPr>
                                <w:pStyle w:val="ListParagraph"/>
                                <w:numPr>
                                  <w:ilvl w:val="0"/>
                                  <w:numId w:val="13"/>
                                </w:numPr>
                                <w:spacing w:before="0" w:after="0"/>
                                <w:rPr>
                                  <w:rFonts w:eastAsia="Calibri"/>
                                </w:rPr>
                              </w:pPr>
                              <w:r>
                                <w:rPr>
                                  <w:rFonts w:eastAsia="Calibri"/>
                                </w:rPr>
                                <w:t>Market capitalization.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98201303" name="Straight Connector 898201303"/>
                        <wps:cNvCnPr>
                          <a:stCxn id="1836608043" idx="3"/>
                        </wps:cNvCnPr>
                        <wps:spPr>
                          <a:xfrm flipV="1">
                            <a:off x="2354580" y="792480"/>
                            <a:ext cx="281940" cy="3810"/>
                          </a:xfrm>
                          <a:prstGeom prst="line">
                            <a:avLst/>
                          </a:prstGeom>
                        </wps:spPr>
                        <wps:style>
                          <a:lnRef idx="1">
                            <a:schemeClr val="dk1"/>
                          </a:lnRef>
                          <a:fillRef idx="0">
                            <a:schemeClr val="dk1"/>
                          </a:fillRef>
                          <a:effectRef idx="0">
                            <a:schemeClr val="dk1"/>
                          </a:effectRef>
                          <a:fontRef idx="minor">
                            <a:schemeClr val="tx1"/>
                          </a:fontRef>
                        </wps:style>
                        <wps:bodyPr/>
                      </wps:wsp>
                      <wps:wsp>
                        <wps:cNvPr id="1462317454" name="Straight Connector 1462317454"/>
                        <wps:cNvCnPr/>
                        <wps:spPr>
                          <a:xfrm>
                            <a:off x="2377440" y="3695700"/>
                            <a:ext cx="259080" cy="0"/>
                          </a:xfrm>
                          <a:prstGeom prst="line">
                            <a:avLst/>
                          </a:prstGeom>
                        </wps:spPr>
                        <wps:style>
                          <a:lnRef idx="1">
                            <a:schemeClr val="dk1"/>
                          </a:lnRef>
                          <a:fillRef idx="0">
                            <a:schemeClr val="dk1"/>
                          </a:fillRef>
                          <a:effectRef idx="0">
                            <a:schemeClr val="dk1"/>
                          </a:effectRef>
                          <a:fontRef idx="minor">
                            <a:schemeClr val="tx1"/>
                          </a:fontRef>
                        </wps:style>
                        <wps:bodyPr/>
                      </wps:wsp>
                      <wps:wsp>
                        <wps:cNvPr id="1558009292" name="Straight Connector 1558009292"/>
                        <wps:cNvCnPr/>
                        <wps:spPr>
                          <a:xfrm>
                            <a:off x="2636520" y="792480"/>
                            <a:ext cx="0" cy="2910840"/>
                          </a:xfrm>
                          <a:prstGeom prst="line">
                            <a:avLst/>
                          </a:prstGeom>
                        </wps:spPr>
                        <wps:style>
                          <a:lnRef idx="1">
                            <a:schemeClr val="dk1"/>
                          </a:lnRef>
                          <a:fillRef idx="0">
                            <a:schemeClr val="dk1"/>
                          </a:fillRef>
                          <a:effectRef idx="0">
                            <a:schemeClr val="dk1"/>
                          </a:effectRef>
                          <a:fontRef idx="minor">
                            <a:schemeClr val="tx1"/>
                          </a:fontRef>
                        </wps:style>
                        <wps:bodyPr/>
                      </wps:wsp>
                      <wps:wsp>
                        <wps:cNvPr id="1349698243" name="Straight Arrow Connector 1349698243"/>
                        <wps:cNvCnPr>
                          <a:stCxn id="693580517" idx="3"/>
                        </wps:cNvCnPr>
                        <wps:spPr>
                          <a:xfrm flipV="1">
                            <a:off x="2366940" y="2278380"/>
                            <a:ext cx="909660" cy="176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1026C200" id="Canvas 1" o:spid="_x0000_s1026" editas="canvas" style="width:447pt;height:352.2pt;mso-position-horizontal-relative:char;mso-position-vertical-relative:line" coordsize="56769,44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769;height:44729;visibility:visible;mso-wrap-style:square" filled="t">
                  <v:fill o:detectmouseclick="t"/>
                  <v:path o:connecttype="none"/>
                </v:shape>
                <v:shapetype id="_x0000_t202" coordsize="21600,21600" o:spt="202" path="m,l,21600r21600,l21600,xe">
                  <v:stroke joinstyle="miter"/>
                  <v:path gradientshapeok="t" o:connecttype="rect"/>
                </v:shapetype>
                <v:shape id="Text Box 1836608043" o:spid="_x0000_s1028" type="#_x0000_t202" style="position:absolute;left:2286;top:2438;width:21259;height:1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" fillcolor="white [3201]" strokeweight=".5pt">
                  <v:textbox>
                    <w:txbxContent>
                      <w:p w14:paraId="6CC5F485" w14:textId="204058CC" w:rsidR="00DC57A5" w:rsidRPr="00DC57A5" w:rsidRDefault="00DC57A5">
                        <w:pPr>
                          <w:rPr>
                            <w:b/>
                            <w:bCs/>
                          </w:rPr>
                        </w:pPr>
                        <w:r w:rsidRPr="00DC57A5">
                          <w:rPr>
                            <w:b/>
                            <w:bCs/>
                          </w:rPr>
                          <w:t xml:space="preserve">Environment </w:t>
                        </w:r>
                        <w:r w:rsidR="00184640">
                          <w:rPr>
                            <w:b/>
                            <w:bCs/>
                          </w:rPr>
                          <w:t>Reporting</w:t>
                        </w:r>
                        <w:r w:rsidRPr="00DC57A5">
                          <w:rPr>
                            <w:b/>
                            <w:bCs/>
                          </w:rPr>
                          <w:t>:</w:t>
                        </w:r>
                      </w:p>
                      <w:p w14:paraId="3F2C46E0" w14:textId="3CEA9B83" w:rsidR="00DC57A5" w:rsidRDefault="00DC57A5" w:rsidP="00DC57A5">
                        <w:pPr>
                          <w:pStyle w:val="ListParagraph"/>
                          <w:numPr>
                            <w:ilvl w:val="0"/>
                            <w:numId w:val="10"/>
                          </w:numPr>
                        </w:pPr>
                        <w:r>
                          <w:t>Carbon disclosure</w:t>
                        </w:r>
                      </w:p>
                      <w:p w14:paraId="769AC673" w14:textId="46EE3B4A" w:rsidR="00DC57A5" w:rsidRDefault="00DC57A5" w:rsidP="00DC57A5">
                        <w:pPr>
                          <w:pStyle w:val="ListParagraph"/>
                          <w:numPr>
                            <w:ilvl w:val="0"/>
                            <w:numId w:val="10"/>
                          </w:numPr>
                        </w:pPr>
                        <w:r>
                          <w:t>Sustainability projects</w:t>
                        </w:r>
                      </w:p>
                    </w:txbxContent>
                  </v:textbox>
                </v:shape>
                <v:shape id="Text Box 1" o:spid="_x0000_s1029" type="#_x0000_t202" style="position:absolute;left:2104;top:15058;width:21565;height:15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" fillcolor="white [3201]" strokeweight=".5pt">
                  <v:textbox>
                    <w:txbxContent>
                      <w:p w14:paraId="46F2CB1C" w14:textId="50C3D0F1" w:rsidR="00DC57A5" w:rsidRDefault="00DC57A5" w:rsidP="00DC57A5">
                        <w:pPr>
                          <w:rPr>
                            <w:rFonts w:eastAsia="Calibri"/>
                            <w:b/>
                            <w:bCs/>
                            <w:szCs w:val="24"/>
                          </w:rPr>
                        </w:pPr>
                        <w:r>
                          <w:rPr>
                            <w:rFonts w:eastAsia="Calibri"/>
                            <w:b/>
                            <w:bCs/>
                          </w:rPr>
                          <w:t xml:space="preserve">Social </w:t>
                        </w:r>
                        <w:r w:rsidR="00184640">
                          <w:rPr>
                            <w:rFonts w:eastAsia="Calibri"/>
                            <w:b/>
                            <w:bCs/>
                          </w:rPr>
                          <w:t>Reporting</w:t>
                        </w:r>
                        <w:r>
                          <w:rPr>
                            <w:rFonts w:eastAsia="Calibri"/>
                            <w:b/>
                            <w:bCs/>
                          </w:rPr>
                          <w:t>:</w:t>
                        </w:r>
                      </w:p>
                      <w:p w14:paraId="6352EF11" w14:textId="21B5E9BC" w:rsidR="00DC57A5" w:rsidRDefault="00DC57A5" w:rsidP="00DC57A5">
                        <w:pPr>
                          <w:pStyle w:val="ListParagraph"/>
                          <w:numPr>
                            <w:ilvl w:val="0"/>
                            <w:numId w:val="11"/>
                          </w:numPr>
                          <w:spacing w:before="0" w:after="0"/>
                          <w:rPr>
                            <w:rFonts w:eastAsia="Calibri"/>
                          </w:rPr>
                        </w:pPr>
                        <w:r>
                          <w:rPr>
                            <w:rFonts w:eastAsia="Calibri"/>
                          </w:rPr>
                          <w:t>CSR spending</w:t>
                        </w:r>
                      </w:p>
                      <w:p w14:paraId="2A9F5BEF" w14:textId="59A29924" w:rsidR="00DC57A5" w:rsidRDefault="00DC57A5" w:rsidP="00DC57A5">
                        <w:pPr>
                          <w:pStyle w:val="ListParagraph"/>
                          <w:numPr>
                            <w:ilvl w:val="0"/>
                            <w:numId w:val="11"/>
                          </w:numPr>
                          <w:spacing w:before="0" w:after="0"/>
                          <w:rPr>
                            <w:rFonts w:eastAsia="Calibri"/>
                          </w:rPr>
                        </w:pPr>
                        <w:r>
                          <w:rPr>
                            <w:rFonts w:eastAsia="Calibri"/>
                          </w:rPr>
                          <w:t>Community programmes</w:t>
                        </w:r>
                      </w:p>
                    </w:txbxContent>
                  </v:textbox>
                </v:shape>
                <v:shape id="Text Box 1" o:spid="_x0000_s1030" type="#_x0000_t202" style="position:absolute;left:2104;top:31594;width:21565;height:10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" fillcolor="white [3201]" strokeweight=".5pt">
                  <v:textbox>
                    <w:txbxContent>
                      <w:p w14:paraId="3C6A0329" w14:textId="721A1A2F" w:rsidR="006854CB" w:rsidRDefault="006854CB" w:rsidP="006854CB">
                        <w:pPr>
                          <w:rPr>
                            <w:rFonts w:eastAsia="Calibri"/>
                            <w:b/>
                            <w:bCs/>
                            <w:szCs w:val="24"/>
                          </w:rPr>
                        </w:pPr>
                        <w:r>
                          <w:rPr>
                            <w:rFonts w:eastAsia="Calibri"/>
                            <w:b/>
                            <w:bCs/>
                          </w:rPr>
                          <w:t xml:space="preserve">Governance </w:t>
                        </w:r>
                        <w:r w:rsidR="00184640">
                          <w:rPr>
                            <w:rFonts w:eastAsia="Calibri"/>
                            <w:b/>
                            <w:bCs/>
                          </w:rPr>
                          <w:t>Reporting</w:t>
                        </w:r>
                        <w:r>
                          <w:rPr>
                            <w:rFonts w:eastAsia="Calibri"/>
                            <w:b/>
                            <w:bCs/>
                          </w:rPr>
                          <w:t>:</w:t>
                        </w:r>
                      </w:p>
                      <w:p w14:paraId="3150D4D3" w14:textId="2B5DDE6C" w:rsidR="006854CB" w:rsidRDefault="006854CB" w:rsidP="006854CB">
                        <w:pPr>
                          <w:pStyle w:val="ListParagraph"/>
                          <w:numPr>
                            <w:ilvl w:val="0"/>
                            <w:numId w:val="12"/>
                          </w:numPr>
                          <w:tabs>
                            <w:tab w:val="left" w:pos="720"/>
                          </w:tabs>
                          <w:spacing w:before="0" w:after="0"/>
                          <w:rPr>
                            <w:rFonts w:eastAsia="Calibri"/>
                          </w:rPr>
                        </w:pPr>
                        <w:r>
                          <w:rPr>
                            <w:rFonts w:eastAsia="Calibri"/>
                          </w:rPr>
                          <w:t>ESG disclosure</w:t>
                        </w:r>
                      </w:p>
                      <w:p w14:paraId="3BAE6A10" w14:textId="4F4856C7" w:rsidR="006854CB" w:rsidRDefault="006854CB" w:rsidP="006854CB">
                        <w:pPr>
                          <w:pStyle w:val="ListParagraph"/>
                          <w:numPr>
                            <w:ilvl w:val="0"/>
                            <w:numId w:val="12"/>
                          </w:numPr>
                          <w:tabs>
                            <w:tab w:val="left" w:pos="720"/>
                          </w:tabs>
                          <w:spacing w:before="0" w:after="0"/>
                          <w:rPr>
                            <w:rFonts w:eastAsia="Calibri"/>
                          </w:rPr>
                        </w:pPr>
                        <w:r>
                          <w:rPr>
                            <w:rFonts w:eastAsia="Calibri"/>
                          </w:rPr>
                          <w:t>Reporting quality</w:t>
                        </w:r>
                      </w:p>
                    </w:txbxContent>
                  </v:textbox>
                </v:shape>
                <v:shape id="Text Box 1" o:spid="_x0000_s1031" type="#_x0000_t202" style="position:absolute;left:33042;top:17649;width:21564;height:1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" fillcolor="white [3201]" strokeweight=".5pt">
                  <v:textbox>
                    <w:txbxContent>
                      <w:p w14:paraId="1BD0BD48" w14:textId="678188E6" w:rsidR="006854CB" w:rsidRDefault="006854CB" w:rsidP="006854CB">
                        <w:pPr>
                          <w:rPr>
                            <w:rFonts w:eastAsia="Calibri"/>
                            <w:b/>
                            <w:bCs/>
                            <w:szCs w:val="24"/>
                          </w:rPr>
                        </w:pPr>
                        <w:r>
                          <w:rPr>
                            <w:rFonts w:eastAsia="Calibri"/>
                            <w:b/>
                            <w:bCs/>
                          </w:rPr>
                          <w:t>Firm value:</w:t>
                        </w:r>
                      </w:p>
                      <w:p w14:paraId="64A606A7" w14:textId="58646DFE" w:rsidR="006854CB" w:rsidRDefault="006854CB" w:rsidP="006854CB">
                        <w:pPr>
                          <w:pStyle w:val="ListParagraph"/>
                          <w:numPr>
                            <w:ilvl w:val="0"/>
                            <w:numId w:val="13"/>
                          </w:numPr>
                          <w:spacing w:before="0" w:after="0"/>
                          <w:rPr>
                            <w:rFonts w:eastAsia="Calibri"/>
                          </w:rPr>
                        </w:pPr>
                        <w:r>
                          <w:rPr>
                            <w:rFonts w:eastAsia="Calibri"/>
                          </w:rPr>
                          <w:t>Market capitalization.</w:t>
                        </w:r>
                      </w:p>
                    </w:txbxContent>
                  </v:textbox>
                </v:shape>
                <v:line id="Straight Connector 898201303" o:spid="_x0000_s1032" style="position:absolute;flip:y;visibility:visible;mso-wrap-style:square" from="23545,7924" to="26365,7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" strokecolor="black [3200]" strokeweight=".5pt">
                  <v:stroke joinstyle="miter"/>
                </v:line>
                <v:line id="Straight Connector 1462317454" o:spid="_x0000_s1033" style="position:absolute;visibility:visible;mso-wrap-style:square" from="23774,36957" to="26365,36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" strokecolor="black [3200]" strokeweight=".5pt">
                  <v:stroke joinstyle="miter"/>
                </v:line>
                <v:line id="Straight Connector 1558009292" o:spid="_x0000_s1034" style="position:absolute;visibility:visible;mso-wrap-style:square" from="26365,7924" to="26365,37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" strokecolor="black [3200]" strokeweight=".5pt">
                  <v:stroke joinstyle="miter"/>
                </v:line>
                <v:shapetype id="_x0000_t32" coordsize="21600,21600" o:spt="32" o:oned="t" path="m,l21600,21600e" filled="f">
                  <v:path arrowok="t" fillok="f" o:connecttype="none"/>
                  <o:lock v:ext="edit" shapetype="t"/>
                </v:shapetype>
                <v:shape id="Straight Arrow Connector 1349698243" o:spid="_x0000_s1035" type="#_x0000_t32" style="position:absolute;left:23669;top:22783;width:9097;height:1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" strokecolor="black [3200]" strokeweight=".5pt">
                  <v:stroke endarrow="block" joinstyle="miter"/>
                </v:shape>
                <w10:anchorlock/>
              </v:group>
            </w:pict>
          </mc:Fallback>
        </mc:AlternateContent>
      </w:r>
    </w:p>
    <w:p w14:paraId="3C79B88C" w14:textId="4827EDF0" w:rsidR="00DC57A5" w:rsidRPr="00273F90" w:rsidRDefault="00DC57A5" w:rsidP="00DC57A5">
      <w:pPr>
        <w:pStyle w:val="Heading5"/>
      </w:pPr>
      <w:bookmarkStart w:id="20" w:name="_Toc224408829"/>
      <w:r>
        <w:t>Figure 2.1 Conceptual Framework</w:t>
      </w:r>
      <w:bookmarkEnd w:id="20"/>
      <w:r>
        <w:t xml:space="preserve"> </w:t>
      </w:r>
    </w:p>
    <w:p w14:paraId="75153CCC" w14:textId="2A935A03" w:rsidR="008A08D6" w:rsidRPr="008A08D6" w:rsidRDefault="00AA5EFA" w:rsidP="00AA5EFA">
      <w:pPr>
        <w:pStyle w:val="Heading2"/>
      </w:pPr>
      <w:bookmarkStart w:id="21" w:name="_Toc224408894"/>
      <w:r>
        <w:t>2.4 Literature Summary</w:t>
      </w:r>
      <w:bookmarkEnd w:id="21"/>
    </w:p>
    <w:p w14:paraId="6BEA1722" w14:textId="6C01F57E" w:rsidR="00AA5EFA" w:rsidRDefault="005F1404" w:rsidP="00AA5EFA">
      <w:r w:rsidRPr="005F1404">
        <w:t xml:space="preserve">Empirical literature reviewed has shown that </w:t>
      </w:r>
      <w:r w:rsidR="00453F06">
        <w:t>ESG</w:t>
      </w:r>
      <w:r w:rsidRPr="005F1404">
        <w:t xml:space="preserve"> practices have gained an important</w:t>
      </w:r>
      <w:r w:rsidR="00453F06" w:rsidRPr="00453F06">
        <w:rPr>
          <w:color w:val="FFFFFF" w:themeColor="background1"/>
        </w:rPr>
        <w:t>5</w:t>
      </w:r>
      <w:r w:rsidRPr="005F1404">
        <w:t>topic in corporate finance and sustainability studies. It is also reported by a significant number of studies that the ESG initiatives have a positive</w:t>
      </w:r>
      <w:r w:rsidR="00453F06" w:rsidRPr="00453F06">
        <w:rPr>
          <w:color w:val="FFFFFF" w:themeColor="background1"/>
        </w:rPr>
        <w:t>5</w:t>
      </w:r>
      <w:r w:rsidRPr="005F1404">
        <w:t>impact on the value of a firm. Other studies however establish weak, or negative relationships with a case that the ESG investments can boost the operational costs, and thus lower the short</w:t>
      </w:r>
      <w:r w:rsidR="00453F06">
        <w:t>-</w:t>
      </w:r>
      <w:r w:rsidRPr="005F1404">
        <w:t>term profitability. Moreover, some studies have mixed or conditional results where it is implied that the relationship</w:t>
      </w:r>
      <w:r w:rsidR="00453F06" w:rsidRPr="00453F06">
        <w:rPr>
          <w:color w:val="FFFFFF" w:themeColor="background1"/>
        </w:rPr>
        <w:t>5</w:t>
      </w:r>
      <w:r w:rsidRPr="005F1404">
        <w:t>between</w:t>
      </w:r>
      <w:r w:rsidR="00453F06" w:rsidRPr="00453F06">
        <w:rPr>
          <w:color w:val="FFFFFF" w:themeColor="background1"/>
        </w:rPr>
        <w:t>5</w:t>
      </w:r>
      <w:r w:rsidRPr="005F1404">
        <w:t>ESG and the firm values is conditional and is influenced by the factors including</w:t>
      </w:r>
      <w:r w:rsidR="00500515" w:rsidRPr="00500515">
        <w:rPr>
          <w:color w:val="FFFFFF" w:themeColor="background1"/>
        </w:rPr>
        <w:t>5</w:t>
      </w:r>
      <w:r w:rsidRPr="005F1404">
        <w:t>the quality</w:t>
      </w:r>
      <w:r w:rsidR="00500515" w:rsidRPr="00500515">
        <w:rPr>
          <w:color w:val="FFFFFF" w:themeColor="background1"/>
        </w:rPr>
        <w:t>5</w:t>
      </w:r>
      <w:r w:rsidRPr="005F1404">
        <w:t>of governance, the types of institutional environment, and industry specific characteristics. Such conflicting results reflect the lack of agreement as to the relevance of ESG practices in terms of value</w:t>
      </w:r>
      <w:r>
        <w:t xml:space="preserve">. </w:t>
      </w:r>
      <w:r w:rsidRPr="005F1404">
        <w:t xml:space="preserve">This </w:t>
      </w:r>
      <w:r>
        <w:t>study</w:t>
      </w:r>
      <w:r w:rsidRPr="005F1404">
        <w:t>, therefore, constructs a conceptual framework that looks into the concept that the implementation of the ESG strategy by using environmental programs, social responsibility, and transparency in governance can impact the market value of the firms listed on the Nairobi Securities Exchange.</w:t>
      </w:r>
    </w:p>
    <w:p w14:paraId="35D57317" w14:textId="30EECD37" w:rsidR="007A7463" w:rsidRDefault="007A7463" w:rsidP="007A7463">
      <w:pPr>
        <w:pStyle w:val="Heading1"/>
      </w:pPr>
      <w:bookmarkStart w:id="22" w:name="_Toc224408895"/>
      <w:r>
        <w:lastRenderedPageBreak/>
        <w:t>Chapter Three: Methodology</w:t>
      </w:r>
      <w:bookmarkEnd w:id="22"/>
    </w:p>
    <w:p w14:paraId="3C87F0FA" w14:textId="5E21441F" w:rsidR="007A7463" w:rsidRDefault="000E2827" w:rsidP="007A7463">
      <w:r w:rsidRPr="000E2827">
        <w:t>This</w:t>
      </w:r>
      <w:r w:rsidR="00500515" w:rsidRPr="00500515">
        <w:rPr>
          <w:color w:val="FFFFFF" w:themeColor="background1"/>
        </w:rPr>
        <w:t>5</w:t>
      </w:r>
      <w:r w:rsidRPr="000E2827">
        <w:t>chapter gives the research</w:t>
      </w:r>
      <w:r w:rsidR="00500515" w:rsidRPr="00500515">
        <w:rPr>
          <w:color w:val="FFFFFF" w:themeColor="background1"/>
        </w:rPr>
        <w:t>5</w:t>
      </w:r>
      <w:r w:rsidRPr="000E2827">
        <w:t>methodology that will be used in this study. It defines and supports the philosophical position underlining the research and how the paradigm chosen will help in the process of data collection and analysis. Moreover, it describes the methods of data collection and the methods to be employed in data analysis to come up with useful results.</w:t>
      </w:r>
    </w:p>
    <w:p w14:paraId="7EAC267B" w14:textId="116419A8" w:rsidR="0076033F" w:rsidRDefault="0076033F" w:rsidP="0076033F">
      <w:pPr>
        <w:pStyle w:val="Heading2"/>
      </w:pPr>
      <w:bookmarkStart w:id="23" w:name="_Toc224408896"/>
      <w:r>
        <w:t>3.1 Research Philosophy</w:t>
      </w:r>
      <w:bookmarkEnd w:id="23"/>
    </w:p>
    <w:p w14:paraId="1BA63BB6" w14:textId="7BE2BD41" w:rsidR="000E2827" w:rsidRDefault="000E2827" w:rsidP="000E2827">
      <w:r>
        <w:t>Research</w:t>
      </w:r>
      <w:r w:rsidR="005A190B" w:rsidRPr="005A190B">
        <w:rPr>
          <w:color w:val="FFFFFF" w:themeColor="background1"/>
        </w:rPr>
        <w:t>5</w:t>
      </w:r>
      <w:r>
        <w:t>philosophy</w:t>
      </w:r>
      <w:r w:rsidR="005A190B" w:rsidRPr="005A190B">
        <w:rPr>
          <w:color w:val="FFFFFF" w:themeColor="background1"/>
        </w:rPr>
        <w:t>5</w:t>
      </w:r>
      <w:r>
        <w:t>can</w:t>
      </w:r>
      <w:r w:rsidR="005A190B" w:rsidRPr="005A190B">
        <w:rPr>
          <w:color w:val="FFFFFF" w:themeColor="background1"/>
        </w:rPr>
        <w:t>5</w:t>
      </w:r>
      <w:r>
        <w:t>be defined as the beliefs about the way</w:t>
      </w:r>
      <w:r w:rsidR="005A190B" w:rsidRPr="005A190B">
        <w:rPr>
          <w:color w:val="FFFFFF" w:themeColor="background1"/>
        </w:rPr>
        <w:t>5</w:t>
      </w:r>
      <w:r>
        <w:t>knowledge is</w:t>
      </w:r>
      <w:r w:rsidR="00500515" w:rsidRPr="00500515">
        <w:rPr>
          <w:color w:val="FFFFFF" w:themeColor="background1"/>
        </w:rPr>
        <w:t>5</w:t>
      </w:r>
      <w:r>
        <w:t>created and the acceptable knowledge in a specific field of research (Saunders, Lewis and Thornhill, 2019). It offers epistemological and ontological basis that directs the research process such as methodology used, means of collecting data, and methods of analysis. The choice of a relevant research philosophy in business and management research will guide the research</w:t>
      </w:r>
      <w:r w:rsidR="005A190B" w:rsidRPr="005A190B">
        <w:rPr>
          <w:color w:val="FFFFFF" w:themeColor="background1"/>
        </w:rPr>
        <w:t>5</w:t>
      </w:r>
      <w:r>
        <w:t>design to meet the</w:t>
      </w:r>
      <w:r w:rsidR="005A190B" w:rsidRPr="005A190B">
        <w:rPr>
          <w:color w:val="FFFFFF" w:themeColor="background1"/>
        </w:rPr>
        <w:t>5</w:t>
      </w:r>
      <w:r>
        <w:t>research goals and the type of</w:t>
      </w:r>
      <w:r w:rsidR="005A190B" w:rsidRPr="005A190B">
        <w:rPr>
          <w:color w:val="FFFFFF" w:themeColor="background1"/>
        </w:rPr>
        <w:t>5</w:t>
      </w:r>
      <w:r>
        <w:t>data under analysis (Creswell and Creswell, 2018).</w:t>
      </w:r>
    </w:p>
    <w:p w14:paraId="5EA09F23" w14:textId="15152CA6" w:rsidR="000E2827" w:rsidRDefault="000E2827" w:rsidP="000E2827">
      <w:r>
        <w:t>The research philosophy employed in this study is post-positivist. Post-positivism is a tradition of positivism that understands that absolute objectivity of research is not always possible. Rather, it presumes that social phenomena could be studied by means of empirical observation and statistical analysis by considering the existence of possible measurement constraints and situational factors (Ryan, 2018). The post-positivist philosophy thus upholds quantitative techniques, hypothesis testing and statistical modelling as means to explain the relationship between observable variables.</w:t>
      </w:r>
      <w:r w:rsidR="00424176">
        <w:t xml:space="preserve"> </w:t>
      </w:r>
      <w:r>
        <w:t>Post-positivism thus offers an appropriate philosophical basis to employ quantitative statistical procedures like regression analysis in order to determine patterns and relationships in firm-level data (Hair et al., 2022). In addition, post-positivism research focuses on hypothesis testing and theory verification, which is in</w:t>
      </w:r>
      <w:r w:rsidR="005A190B" w:rsidRPr="005A190B">
        <w:rPr>
          <w:color w:val="FFFFFF" w:themeColor="background1"/>
        </w:rPr>
        <w:t>5</w:t>
      </w:r>
      <w:r>
        <w:t>line</w:t>
      </w:r>
      <w:r w:rsidR="005A190B" w:rsidRPr="005A190B">
        <w:rPr>
          <w:color w:val="FFFFFF" w:themeColor="background1"/>
        </w:rPr>
        <w:t>5</w:t>
      </w:r>
      <w:r>
        <w:t>with the</w:t>
      </w:r>
      <w:r w:rsidR="005A190B" w:rsidRPr="005A190B">
        <w:rPr>
          <w:color w:val="FFFFFF" w:themeColor="background1"/>
        </w:rPr>
        <w:t>5</w:t>
      </w:r>
      <w:r>
        <w:t>purpose of the study, which is to test the theoretical links between the ESG disclosure practices and the firm value.</w:t>
      </w:r>
    </w:p>
    <w:p w14:paraId="4C464FFE" w14:textId="4A4C2D7C" w:rsidR="00B471D0" w:rsidRPr="00B471D0" w:rsidRDefault="000E2827" w:rsidP="000E2827">
      <w:r>
        <w:t xml:space="preserve">The philosophy also paves the way to the use of secondary archival data to increase objectivity and lessen the bias of the researcher because the data are obtained not on the basis of personal perceptions but based on publicly available corporate disclosures. Post-positivism therefore presents a strong epistemological support to study the ESG-market value nexus in the background of firms that are listed </w:t>
      </w:r>
      <w:r w:rsidR="00424176">
        <w:t>i</w:t>
      </w:r>
      <w:r>
        <w:t xml:space="preserve">n the </w:t>
      </w:r>
      <w:r w:rsidR="00424176">
        <w:t>NSE</w:t>
      </w:r>
      <w:r>
        <w:t>.</w:t>
      </w:r>
    </w:p>
    <w:p w14:paraId="5810B408" w14:textId="59CDDF76" w:rsidR="0076033F" w:rsidRDefault="0042754D" w:rsidP="0042754D">
      <w:pPr>
        <w:pStyle w:val="Heading2"/>
      </w:pPr>
      <w:bookmarkStart w:id="24" w:name="_Toc224408897"/>
      <w:r>
        <w:t>3.2 Research Design</w:t>
      </w:r>
      <w:bookmarkEnd w:id="24"/>
    </w:p>
    <w:p w14:paraId="20950DFB" w14:textId="77777777" w:rsidR="000E2827" w:rsidRDefault="000E2827" w:rsidP="000E2827">
      <w:r>
        <w:t xml:space="preserve">Research design can be described as the general map or plan according to which the process of data collection, measurement, and analysis will be carried out to respond to research objectives </w:t>
      </w:r>
      <w:r>
        <w:lastRenderedPageBreak/>
        <w:t>(Sekaran and Bougie, 2020). It dictates the way the researcher incorporates the various aspects of the study in a systematically organized way so as to have valid and reliable results.</w:t>
      </w:r>
    </w:p>
    <w:p w14:paraId="1146077D" w14:textId="7204B2D3" w:rsidR="000E2827" w:rsidRDefault="000E2827" w:rsidP="000E2827">
      <w:r>
        <w:t xml:space="preserve">This </w:t>
      </w:r>
      <w:r w:rsidR="00B05D26">
        <w:t>research</w:t>
      </w:r>
      <w:r>
        <w:t xml:space="preserve"> assumes the descriptive</w:t>
      </w:r>
      <w:r w:rsidR="00B05D26" w:rsidRPr="00B05D26">
        <w:rPr>
          <w:color w:val="FFFFFF" w:themeColor="background1"/>
        </w:rPr>
        <w:t>5</w:t>
      </w:r>
      <w:r>
        <w:t>research</w:t>
      </w:r>
      <w:r w:rsidR="00B05D26" w:rsidRPr="00B05D26">
        <w:rPr>
          <w:color w:val="FFFFFF" w:themeColor="background1"/>
        </w:rPr>
        <w:t>5</w:t>
      </w:r>
      <w:r>
        <w:t>design. The descriptive</w:t>
      </w:r>
      <w:r w:rsidR="00B05D26" w:rsidRPr="00B05D26">
        <w:rPr>
          <w:color w:val="FFFFFF" w:themeColor="background1"/>
        </w:rPr>
        <w:t>5</w:t>
      </w:r>
      <w:r>
        <w:t>research</w:t>
      </w:r>
      <w:r w:rsidR="00B05D26" w:rsidRPr="00B05D26">
        <w:rPr>
          <w:color w:val="FFFFFF" w:themeColor="background1"/>
        </w:rPr>
        <w:t>5</w:t>
      </w:r>
      <w:r>
        <w:t xml:space="preserve">design will be suitable when a study aims to outline the properties of variables and </w:t>
      </w:r>
      <w:proofErr w:type="spellStart"/>
      <w:r>
        <w:t>analyze</w:t>
      </w:r>
      <w:proofErr w:type="spellEnd"/>
      <w:r>
        <w:t xml:space="preserve"> their correlation without the manipulation of the research setting (Creswell and</w:t>
      </w:r>
      <w:r w:rsidR="00B05D26" w:rsidRPr="00B05D26">
        <w:rPr>
          <w:color w:val="FFFFFF" w:themeColor="background1"/>
        </w:rPr>
        <w:t>5</w:t>
      </w:r>
      <w:r>
        <w:t>Creswell, 2018). Descriptive designs are applied extensively in business and financial research to analyse firm-level archival data to reveal statistical relationships between</w:t>
      </w:r>
      <w:r w:rsidR="00B05D26" w:rsidRPr="00B05D26">
        <w:rPr>
          <w:color w:val="FFFFFF" w:themeColor="background1"/>
        </w:rPr>
        <w:t>5</w:t>
      </w:r>
      <w:r>
        <w:t>the characteristics of governance, sustainability practices</w:t>
      </w:r>
      <w:r w:rsidR="00513045" w:rsidRPr="00513045">
        <w:rPr>
          <w:color w:val="FFFFFF" w:themeColor="background1"/>
        </w:rPr>
        <w:t>5</w:t>
      </w:r>
      <w:r>
        <w:t>and corporate</w:t>
      </w:r>
      <w:r w:rsidR="00513045" w:rsidRPr="00513045">
        <w:rPr>
          <w:color w:val="FFFFFF" w:themeColor="background1"/>
        </w:rPr>
        <w:t>5</w:t>
      </w:r>
      <w:r>
        <w:t>performance indicators (Saunders et al., 2019).</w:t>
      </w:r>
    </w:p>
    <w:p w14:paraId="469A0DD1" w14:textId="60191BD7" w:rsidR="000E2827" w:rsidRDefault="000E2827" w:rsidP="000E2827">
      <w:r>
        <w:t>Descriptive design was selected due to the nature of the variables under investigation in the study such as ESG disclosure and firm market value, which are inherently corporate characteristics that cannot be experimented. Rather, the research is aimed at the analysis</w:t>
      </w:r>
      <w:r w:rsidR="00513045" w:rsidRPr="00513045">
        <w:rPr>
          <w:color w:val="FFFFFF" w:themeColor="background1"/>
        </w:rPr>
        <w:t>5</w:t>
      </w:r>
      <w:r>
        <w:t>of historical data of firms in order to establish whether the differences in the level of ESG disclosure are related to the differences in the</w:t>
      </w:r>
      <w:r w:rsidR="00513045" w:rsidRPr="00513045">
        <w:rPr>
          <w:color w:val="FFFFFF" w:themeColor="background1"/>
        </w:rPr>
        <w:t>5</w:t>
      </w:r>
      <w:r>
        <w:t>market value of</w:t>
      </w:r>
      <w:r w:rsidR="00513045" w:rsidRPr="00513045">
        <w:rPr>
          <w:color w:val="FFFFFF" w:themeColor="background1"/>
        </w:rPr>
        <w:t>5</w:t>
      </w:r>
      <w:r>
        <w:t>companies over time. The descriptive research design would thus enable the researcher to study these relationships in their actual corporate context through quantitative methods of analysis.</w:t>
      </w:r>
    </w:p>
    <w:p w14:paraId="53B07ADF" w14:textId="4F5B5E10" w:rsidR="0042754D" w:rsidRPr="0042754D" w:rsidRDefault="000E2827" w:rsidP="000E2827">
      <w:r>
        <w:t>Also, the descriptive design can be combined with the quantitative research design, especially in situations when secondary financial data acquired by means of annual reports and stock market are used. The design enables the systematic aggregation and evaluation of vast data volumes in a number of firms and over a variety of time frames, which will improve the generalisability and external validity</w:t>
      </w:r>
      <w:r w:rsidR="0064181F">
        <w:rPr>
          <w:color w:val="FFFFFF" w:themeColor="background1"/>
        </w:rPr>
        <w:t>5</w:t>
      </w:r>
      <w:r>
        <w:t>of the</w:t>
      </w:r>
      <w:r w:rsidR="0064181F" w:rsidRPr="0064181F">
        <w:rPr>
          <w:color w:val="FFFFFF" w:themeColor="background1"/>
        </w:rPr>
        <w:t>5</w:t>
      </w:r>
      <w:r>
        <w:t>research</w:t>
      </w:r>
      <w:r w:rsidR="00513045" w:rsidRPr="00513045">
        <w:rPr>
          <w:color w:val="FFFFFF" w:themeColor="background1"/>
        </w:rPr>
        <w:t>5</w:t>
      </w:r>
      <w:r>
        <w:t>results. The descriptive design within this study will be relevant in the analysis of the ESG disclosures</w:t>
      </w:r>
      <w:r w:rsidR="00513045" w:rsidRPr="00513045">
        <w:rPr>
          <w:color w:val="FFFFFF" w:themeColor="background1"/>
        </w:rPr>
        <w:t>5</w:t>
      </w:r>
      <w:r>
        <w:t xml:space="preserve">and market value of the companies listed in the </w:t>
      </w:r>
      <w:r w:rsidR="00513045">
        <w:t>NSE</w:t>
      </w:r>
      <w:r>
        <w:t xml:space="preserve"> between 2022 and 2024 using panel data regression methods.</w:t>
      </w:r>
    </w:p>
    <w:p w14:paraId="636FAEC2" w14:textId="2AD26A04" w:rsidR="0042754D" w:rsidRDefault="0042754D" w:rsidP="0042754D">
      <w:pPr>
        <w:pStyle w:val="Heading2"/>
      </w:pPr>
      <w:bookmarkStart w:id="25" w:name="_Toc224408898"/>
      <w:r>
        <w:t>3.3 Theoretical Approach</w:t>
      </w:r>
      <w:bookmarkEnd w:id="25"/>
    </w:p>
    <w:p w14:paraId="676F1929" w14:textId="59BF0B93" w:rsidR="000E2827" w:rsidRDefault="000E2827" w:rsidP="000E2827">
      <w:r>
        <w:t xml:space="preserve">The study uses a deductive research methodology. Deductive research works involve formulating the hypotheses due to the existing theoretical frameworks and then testing the hypotheses on the basis of empirical evidence (Saunders et al., 2019). The methodology shifts to the theory to observation and it is usually adopted in quantitative research in which one can statistically </w:t>
      </w:r>
      <w:proofErr w:type="spellStart"/>
      <w:r>
        <w:t>analyze</w:t>
      </w:r>
      <w:proofErr w:type="spellEnd"/>
      <w:r>
        <w:t xml:space="preserve"> relationships between variables.</w:t>
      </w:r>
    </w:p>
    <w:p w14:paraId="2C252964" w14:textId="77777777" w:rsidR="000E2827" w:rsidRDefault="000E2827" w:rsidP="000E2827">
      <w:r>
        <w:t xml:space="preserve">In this research, the deductive method will suit the situation since this method will be based on the prevailing theoretical views that describe the connection between corporate sustainability practices and firm value. As an example, the stakeholder theory indicates that companies that consider the interests of various stakeholders by being responsible in their environmental, </w:t>
      </w:r>
      <w:r>
        <w:lastRenderedPageBreak/>
        <w:t>social, and governance practices tend to improve their image and financial results (Freeman et al., 2020). Equally, the signalling theory assumes that voluntary corporate disclosure (e.g. ESG reporting) has a signal effect on the market valuation by sending signals to investors regarding the quality and transparency of management practices of a firm (Spence, 1973; Connelly et al., 2011).</w:t>
      </w:r>
    </w:p>
    <w:p w14:paraId="5D3D6E7C" w14:textId="414461E3" w:rsidR="0042754D" w:rsidRPr="0042754D" w:rsidRDefault="000E2827" w:rsidP="000E2827">
      <w:r>
        <w:t>Through the deductive methodology, the research comes up with testable hypotheses on the role of ESG disclosure practices on the market value of firms. These are then tested through the secondary financial data, and statistical regression models. The deductive method thus makes certain that the study is theory-based and yet empirical validation of the theoretical hypotheses may be done in the Kenyan capital market setting</w:t>
      </w:r>
      <w:r w:rsidR="0042754D" w:rsidRPr="0042754D">
        <w:t>.</w:t>
      </w:r>
    </w:p>
    <w:p w14:paraId="3A62A6EC" w14:textId="12B8A342" w:rsidR="0042754D" w:rsidRDefault="0042754D" w:rsidP="0042754D">
      <w:pPr>
        <w:pStyle w:val="Heading2"/>
      </w:pPr>
      <w:bookmarkStart w:id="26" w:name="_Toc224408899"/>
      <w:r>
        <w:t>3.4 Target Population</w:t>
      </w:r>
      <w:bookmarkEnd w:id="26"/>
    </w:p>
    <w:p w14:paraId="473D4C4D" w14:textId="77777777" w:rsidR="000E2827" w:rsidRDefault="000E2827" w:rsidP="000E2827">
      <w:r>
        <w:t>The term of target population is used in reference to the full group of units that will have the features pertaining to the research goals and against which the researcher will be able to make conclusions (Sekaran &amp; Bougie, 2020). In quantitative studies, a clear definition of the target group makes it possible to have the results of the study generalised accordingly.</w:t>
      </w:r>
    </w:p>
    <w:p w14:paraId="15A4FE64" w14:textId="0C46A5DD" w:rsidR="000E2827" w:rsidRDefault="000E2827" w:rsidP="000E2827">
      <w:r>
        <w:t xml:space="preserve">The population targeted by this research will include any firm listed on Nairobi Securities Exchange (NSE) in 2022, 2023, and 2024. Based on the annual reports of Nairobi Securities Exchange, the exchange recorded about </w:t>
      </w:r>
      <w:r w:rsidR="00626858">
        <w:t>59</w:t>
      </w:r>
      <w:r>
        <w:t xml:space="preserve"> companies of various sectors in the economy that were listed in the period of the study. These businesses are in a variety of businesses such as banking, insurance, manufacturing, telecommunication, agriculture and investment services.</w:t>
      </w:r>
    </w:p>
    <w:p w14:paraId="75C002B0" w14:textId="38EB331A" w:rsidR="000E2827" w:rsidRDefault="000E2827" w:rsidP="000E2827">
      <w:r>
        <w:t>The selected NSE-listed companies are supported by a number of reasons. To begin with, annual</w:t>
      </w:r>
      <w:r w:rsidR="0064181F" w:rsidRPr="0064181F">
        <w:rPr>
          <w:color w:val="FFFFFF" w:themeColor="background1"/>
        </w:rPr>
        <w:t>2</w:t>
      </w:r>
      <w:r>
        <w:t>reports</w:t>
      </w:r>
      <w:r w:rsidR="0064181F" w:rsidRPr="0064181F">
        <w:rPr>
          <w:color w:val="FFFFFF" w:themeColor="background1"/>
        </w:rPr>
        <w:t>2</w:t>
      </w:r>
      <w:r>
        <w:t>and</w:t>
      </w:r>
      <w:r w:rsidR="0064181F" w:rsidRPr="0064181F">
        <w:rPr>
          <w:color w:val="FFFFFF" w:themeColor="background1"/>
        </w:rPr>
        <w:t>5</w:t>
      </w:r>
      <w:r w:rsidR="0064181F">
        <w:t>f</w:t>
      </w:r>
      <w:r>
        <w:t>inancial statements</w:t>
      </w:r>
      <w:r w:rsidR="0064181F" w:rsidRPr="0064181F">
        <w:rPr>
          <w:color w:val="FFFFFF" w:themeColor="background1"/>
        </w:rPr>
        <w:t>5</w:t>
      </w:r>
      <w:r>
        <w:t>of publicly listed companies have to include comprehensive financial</w:t>
      </w:r>
      <w:r w:rsidR="00383722" w:rsidRPr="00383722">
        <w:rPr>
          <w:color w:val="FFFFFF" w:themeColor="background1"/>
        </w:rPr>
        <w:t>5</w:t>
      </w:r>
      <w:r>
        <w:t>and</w:t>
      </w:r>
      <w:r w:rsidR="00383722" w:rsidRPr="00383722">
        <w:rPr>
          <w:color w:val="FFFFFF" w:themeColor="background1"/>
        </w:rPr>
        <w:t>5</w:t>
      </w:r>
      <w:r>
        <w:t>non-financial</w:t>
      </w:r>
      <w:r w:rsidR="00383722" w:rsidRPr="00383722">
        <w:rPr>
          <w:color w:val="FFFFFF" w:themeColor="background1"/>
        </w:rPr>
        <w:t>5</w:t>
      </w:r>
      <w:r>
        <w:t>disclosure including sustainability and governance information. This facilitates the availability</w:t>
      </w:r>
      <w:r w:rsidR="00383722" w:rsidRPr="00383722">
        <w:rPr>
          <w:color w:val="FFFFFF" w:themeColor="background1"/>
        </w:rPr>
        <w:t>5</w:t>
      </w:r>
      <w:r>
        <w:t>and</w:t>
      </w:r>
      <w:r w:rsidR="00383722" w:rsidRPr="00383722">
        <w:rPr>
          <w:color w:val="FFFFFF" w:themeColor="background1"/>
        </w:rPr>
        <w:t>5</w:t>
      </w:r>
      <w:r>
        <w:t>reliability of secondary data that is required in the empirical analysis. Second, the described firms are subject to the regulatory provisions of the Capital Markets Authority (CMA) and NSE corporate governance policies, which facilitate the transparency and disclosure policies, such as sustainability</w:t>
      </w:r>
      <w:r w:rsidR="00383722" w:rsidRPr="00383722">
        <w:rPr>
          <w:color w:val="FFFFFF" w:themeColor="background1"/>
        </w:rPr>
        <w:t>5</w:t>
      </w:r>
      <w:r>
        <w:t>reporting. Third, the NSE is the major capital market in Kenya and thus offers a valid background to examine the impact of ESG disclosure practices on the market value of firms by the investor.</w:t>
      </w:r>
    </w:p>
    <w:p w14:paraId="053EF6FB" w14:textId="4CA8A969" w:rsidR="0042754D" w:rsidRPr="0042754D" w:rsidRDefault="000E2827" w:rsidP="000E2827">
      <w:r>
        <w:t>Therefore, by considering all the companies listed on the NSE, the research</w:t>
      </w:r>
      <w:r w:rsidR="00383722" w:rsidRPr="00383722">
        <w:rPr>
          <w:color w:val="FFFFFF" w:themeColor="background1"/>
        </w:rPr>
        <w:t>5</w:t>
      </w:r>
      <w:r>
        <w:t>can track the dynamics of ESG disclosure and company value in the capital market in Kenya and at the same time provides sufficient coverage among the sectors.</w:t>
      </w:r>
    </w:p>
    <w:p w14:paraId="70773FB5" w14:textId="77777777" w:rsidR="0042754D" w:rsidRPr="0042754D" w:rsidRDefault="0042754D" w:rsidP="0042754D">
      <w:pPr>
        <w:pStyle w:val="Heading2"/>
      </w:pPr>
      <w:bookmarkStart w:id="27" w:name="_Toc224408900"/>
      <w:r w:rsidRPr="0042754D">
        <w:lastRenderedPageBreak/>
        <w:t>3.5 Sampling Technique</w:t>
      </w:r>
      <w:bookmarkEnd w:id="27"/>
    </w:p>
    <w:p w14:paraId="2473122C" w14:textId="368FF1BC" w:rsidR="000E2827" w:rsidRDefault="000E2827" w:rsidP="000E2827">
      <w:r>
        <w:t xml:space="preserve">Sampling is a term that is used to mean the procedure of choosing a sample of units and use them to </w:t>
      </w:r>
      <w:r w:rsidR="00B20C48">
        <w:t>analyse</w:t>
      </w:r>
      <w:r>
        <w:t xml:space="preserve"> the data (Saunders et al., 2019). In certain paragraphs, sample methods are required in cases where the population is huge and it will not be feasible to gather information about all units.</w:t>
      </w:r>
    </w:p>
    <w:p w14:paraId="6D8CD54F" w14:textId="02C1100F" w:rsidR="000E2827" w:rsidRDefault="000E2827" w:rsidP="000E2827">
      <w:r>
        <w:t>Nonetheless, the research will take a census approach which implies that all the firms that are listed</w:t>
      </w:r>
      <w:r w:rsidR="00B20C48" w:rsidRPr="00B20C48">
        <w:rPr>
          <w:color w:val="FFFFFF" w:themeColor="background1"/>
        </w:rPr>
        <w:t>5</w:t>
      </w:r>
      <w:r>
        <w:t>in the</w:t>
      </w:r>
      <w:r w:rsidR="00B20C48" w:rsidRPr="00B20C48">
        <w:rPr>
          <w:color w:val="FFFFFF" w:themeColor="background1"/>
        </w:rPr>
        <w:t>5</w:t>
      </w:r>
      <w:r>
        <w:t>N</w:t>
      </w:r>
      <w:r w:rsidR="00B20C48">
        <w:t>SE</w:t>
      </w:r>
      <w:r>
        <w:t xml:space="preserve"> within the study time frame will be incorporated in the study. The census method is suitable when the population size is not very large, but manageable so that the researcher can consider the data of all the available units instead of choosing the sample (Sekaran &amp; Bougie, 2020).</w:t>
      </w:r>
    </w:p>
    <w:p w14:paraId="127EE7A4" w14:textId="077D70BF" w:rsidR="0042754D" w:rsidRDefault="000E2827" w:rsidP="000E2827">
      <w:r>
        <w:t>There are various reasons why the census approach is the one to be used. To begin with, the sample size of listed companies in NSE is quite small (around 62 companies) and therefore incorporating all of the firms in the research is possible. Second, a census helps to avoid the sampling bias and increases the representativeness of the study results. Third, the study of the whole population enhances the statistical validity of the findings and gives a more detailed insight of ESG disclosure practices in the Kenyan capital market</w:t>
      </w:r>
      <w:r w:rsidR="0042754D" w:rsidRPr="0042754D">
        <w:t>.</w:t>
      </w:r>
    </w:p>
    <w:p w14:paraId="31FDE7B6" w14:textId="34D09908" w:rsidR="0042754D" w:rsidRDefault="0042754D" w:rsidP="0042754D">
      <w:pPr>
        <w:pStyle w:val="Heading2"/>
      </w:pPr>
      <w:bookmarkStart w:id="28" w:name="_Toc224408901"/>
      <w:r>
        <w:t xml:space="preserve">3.6 </w:t>
      </w:r>
      <w:r w:rsidRPr="0042754D">
        <w:t>Data Collection Methods</w:t>
      </w:r>
      <w:bookmarkEnd w:id="28"/>
    </w:p>
    <w:p w14:paraId="442B2055" w14:textId="487460D8" w:rsidR="000E2827" w:rsidRPr="000E2827" w:rsidRDefault="000E2827" w:rsidP="000E2827">
      <w:r w:rsidRPr="000E2827">
        <w:t>In this research, secondary</w:t>
      </w:r>
      <w:r w:rsidR="00B20C48" w:rsidRPr="00B20C48">
        <w:rPr>
          <w:color w:val="FFFFFF" w:themeColor="background1"/>
        </w:rPr>
        <w:t>5</w:t>
      </w:r>
      <w:r w:rsidRPr="000E2827">
        <w:t>data will have been used, which will be the data that has been published publicly in corporate disclosures. The secondary data means the information that has already been gathered and recorded by other organisations or institutions but is not aimed at the current research (Johnston, 2017). The secondary data collection will be suitable in this research since the information on ESG disclosure, as well as financial performance indicators, is reported in financial statements and annual reports of companies. The application of archival financial data adds to the objectivity and reliability of the study as the data is checked independently and can be accessed publicly.</w:t>
      </w:r>
    </w:p>
    <w:p w14:paraId="53B4E9A8" w14:textId="3C8B273C" w:rsidR="00D23E27" w:rsidRDefault="00D23E27" w:rsidP="00D23E27">
      <w:pPr>
        <w:pStyle w:val="Heading3"/>
      </w:pPr>
      <w:bookmarkStart w:id="29" w:name="_Toc224408902"/>
      <w:r>
        <w:t>3.6.1 Operationalization of the Study Variables</w:t>
      </w:r>
      <w:bookmarkEnd w:id="29"/>
    </w:p>
    <w:p w14:paraId="7E7BDE91" w14:textId="79F00560" w:rsidR="000E2827" w:rsidRDefault="000E2827" w:rsidP="000E2827">
      <w:r>
        <w:t>The independent</w:t>
      </w:r>
      <w:r w:rsidR="00B20C48" w:rsidRPr="00B20C48">
        <w:rPr>
          <w:color w:val="FFFFFF" w:themeColor="background1"/>
        </w:rPr>
        <w:t>5</w:t>
      </w:r>
      <w:r>
        <w:t>and the dependent</w:t>
      </w:r>
      <w:r w:rsidR="00B20C48" w:rsidRPr="00B20C48">
        <w:rPr>
          <w:color w:val="FFFFFF" w:themeColor="background1"/>
        </w:rPr>
        <w:t>5</w:t>
      </w:r>
      <w:r>
        <w:t>variables</w:t>
      </w:r>
      <w:r w:rsidR="00B20C48" w:rsidRPr="00B20C48">
        <w:rPr>
          <w:color w:val="FFFFFF" w:themeColor="background1"/>
        </w:rPr>
        <w:t>5</w:t>
      </w:r>
      <w:r>
        <w:t>used in this research</w:t>
      </w:r>
      <w:r w:rsidR="00B20C48" w:rsidRPr="00B20C48">
        <w:rPr>
          <w:color w:val="FFFFFF" w:themeColor="background1"/>
        </w:rPr>
        <w:t>5</w:t>
      </w:r>
      <w:r>
        <w:t xml:space="preserve">are </w:t>
      </w:r>
      <w:r w:rsidR="00B20C48">
        <w:t>ESG</w:t>
      </w:r>
      <w:r>
        <w:t xml:space="preserve"> disclosure practices and firm market</w:t>
      </w:r>
      <w:r w:rsidR="00B20C48" w:rsidRPr="00B20C48">
        <w:rPr>
          <w:color w:val="FFFFFF" w:themeColor="background1"/>
        </w:rPr>
        <w:t>5</w:t>
      </w:r>
      <w:r>
        <w:t xml:space="preserve">value respectively. The binary disclosure index method was adopted to measure the ESG disclosure and it has been widely used to study sustainability and corporate governance issues when assessing qualitative information in corporate reports. </w:t>
      </w:r>
    </w:p>
    <w:p w14:paraId="7ACF7654" w14:textId="446B59D7" w:rsidR="00DD114E" w:rsidRDefault="00DD114E" w:rsidP="00DD114E">
      <w:pPr>
        <w:pStyle w:val="Heading4"/>
      </w:pPr>
      <w:bookmarkStart w:id="30" w:name="_Toc224408792"/>
      <w:r>
        <w:lastRenderedPageBreak/>
        <w:t>Table 3.1 Measurement of the Variables</w:t>
      </w:r>
      <w:bookmarkEnd w:id="3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1"/>
        <w:gridCol w:w="4528"/>
        <w:gridCol w:w="1855"/>
        <w:gridCol w:w="962"/>
      </w:tblGrid>
      <w:tr w:rsidR="00DD114E" w:rsidRPr="00DD114E" w14:paraId="6410341F" w14:textId="77777777" w:rsidTr="00DD114E">
        <w:trPr>
          <w:tblHeader/>
          <w:tblCellSpacing w:w="15" w:type="dxa"/>
        </w:trPr>
        <w:tc>
          <w:tcPr>
            <w:tcW w:w="0" w:type="auto"/>
            <w:tcBorders>
              <w:top w:val="single" w:sz="4" w:space="0" w:color="auto"/>
              <w:bottom w:val="single" w:sz="4" w:space="0" w:color="auto"/>
            </w:tcBorders>
            <w:vAlign w:val="center"/>
            <w:hideMark/>
          </w:tcPr>
          <w:p w14:paraId="54357E5F" w14:textId="77777777" w:rsidR="00DD114E" w:rsidRPr="00DD114E" w:rsidRDefault="00DD114E" w:rsidP="00DD114E">
            <w:pPr>
              <w:spacing w:before="0" w:after="0" w:line="276" w:lineRule="auto"/>
              <w:rPr>
                <w:b/>
                <w:bCs/>
              </w:rPr>
            </w:pPr>
            <w:r w:rsidRPr="00DD114E">
              <w:rPr>
                <w:b/>
                <w:bCs/>
              </w:rPr>
              <w:t>Variable</w:t>
            </w:r>
          </w:p>
        </w:tc>
        <w:tc>
          <w:tcPr>
            <w:tcW w:w="0" w:type="auto"/>
            <w:tcBorders>
              <w:top w:val="single" w:sz="4" w:space="0" w:color="auto"/>
              <w:bottom w:val="single" w:sz="4" w:space="0" w:color="auto"/>
            </w:tcBorders>
            <w:vAlign w:val="center"/>
            <w:hideMark/>
          </w:tcPr>
          <w:p w14:paraId="233DE63E" w14:textId="77777777" w:rsidR="00DD114E" w:rsidRPr="00DD114E" w:rsidRDefault="00DD114E" w:rsidP="00DD114E">
            <w:pPr>
              <w:spacing w:before="0" w:after="0" w:line="276" w:lineRule="auto"/>
              <w:rPr>
                <w:b/>
                <w:bCs/>
              </w:rPr>
            </w:pPr>
            <w:r w:rsidRPr="00DD114E">
              <w:rPr>
                <w:b/>
                <w:bCs/>
              </w:rPr>
              <w:t>Indicators</w:t>
            </w:r>
          </w:p>
        </w:tc>
        <w:tc>
          <w:tcPr>
            <w:tcW w:w="0" w:type="auto"/>
            <w:tcBorders>
              <w:top w:val="single" w:sz="4" w:space="0" w:color="auto"/>
              <w:bottom w:val="single" w:sz="4" w:space="0" w:color="auto"/>
            </w:tcBorders>
            <w:vAlign w:val="center"/>
            <w:hideMark/>
          </w:tcPr>
          <w:p w14:paraId="18B6A94D" w14:textId="77777777" w:rsidR="00DD114E" w:rsidRPr="00DD114E" w:rsidRDefault="00DD114E" w:rsidP="00DD114E">
            <w:pPr>
              <w:spacing w:before="0" w:after="0" w:line="276" w:lineRule="auto"/>
              <w:rPr>
                <w:b/>
                <w:bCs/>
              </w:rPr>
            </w:pPr>
            <w:r w:rsidRPr="00DD114E">
              <w:rPr>
                <w:b/>
                <w:bCs/>
              </w:rPr>
              <w:t>Measurement</w:t>
            </w:r>
          </w:p>
        </w:tc>
        <w:tc>
          <w:tcPr>
            <w:tcW w:w="0" w:type="auto"/>
            <w:tcBorders>
              <w:top w:val="single" w:sz="4" w:space="0" w:color="auto"/>
              <w:bottom w:val="single" w:sz="4" w:space="0" w:color="auto"/>
            </w:tcBorders>
            <w:vAlign w:val="center"/>
            <w:hideMark/>
          </w:tcPr>
          <w:p w14:paraId="32899B1B" w14:textId="77777777" w:rsidR="00DD114E" w:rsidRPr="00DD114E" w:rsidRDefault="00DD114E" w:rsidP="00DD114E">
            <w:pPr>
              <w:spacing w:before="0" w:after="0" w:line="276" w:lineRule="auto"/>
              <w:rPr>
                <w:b/>
                <w:bCs/>
              </w:rPr>
            </w:pPr>
            <w:r w:rsidRPr="00DD114E">
              <w:rPr>
                <w:b/>
                <w:bCs/>
              </w:rPr>
              <w:t>Source</w:t>
            </w:r>
          </w:p>
        </w:tc>
      </w:tr>
      <w:tr w:rsidR="00DD114E" w:rsidRPr="00DD114E" w14:paraId="5B0EC657" w14:textId="77777777">
        <w:trPr>
          <w:tblCellSpacing w:w="15" w:type="dxa"/>
        </w:trPr>
        <w:tc>
          <w:tcPr>
            <w:tcW w:w="0" w:type="auto"/>
            <w:vAlign w:val="center"/>
            <w:hideMark/>
          </w:tcPr>
          <w:p w14:paraId="5CAC76E1" w14:textId="77777777" w:rsidR="00DD114E" w:rsidRPr="00DD114E" w:rsidRDefault="00DD114E" w:rsidP="00DD114E">
            <w:pPr>
              <w:spacing w:before="0" w:after="0" w:line="276" w:lineRule="auto"/>
            </w:pPr>
            <w:r w:rsidRPr="00DD114E">
              <w:t>Environmental Reporting</w:t>
            </w:r>
          </w:p>
        </w:tc>
        <w:tc>
          <w:tcPr>
            <w:tcW w:w="0" w:type="auto"/>
            <w:vAlign w:val="center"/>
            <w:hideMark/>
          </w:tcPr>
          <w:p w14:paraId="5F598BF9" w14:textId="658A0B81" w:rsidR="00DD114E" w:rsidRPr="00DD114E" w:rsidRDefault="00DD114E" w:rsidP="00DD114E">
            <w:pPr>
              <w:spacing w:before="0" w:after="0" w:line="276" w:lineRule="auto"/>
            </w:pPr>
            <w:r>
              <w:t>E</w:t>
            </w:r>
            <w:r w:rsidRPr="00DD114E">
              <w:t>nergy efficiency programmes, waste management practices, water conservation initiatives, emissions reduction initiatives, green financing initiatives, environmental sustainability programmes, climate risk management strategies, environmental partnerships, environmental disclosures within sustainability reports, and corporate environmental policy commitments.</w:t>
            </w:r>
          </w:p>
        </w:tc>
        <w:tc>
          <w:tcPr>
            <w:tcW w:w="0" w:type="auto"/>
            <w:vAlign w:val="center"/>
            <w:hideMark/>
          </w:tcPr>
          <w:p w14:paraId="095BC16D" w14:textId="77777777" w:rsidR="00DD114E" w:rsidRPr="00DD114E" w:rsidRDefault="00DD114E" w:rsidP="00DD114E">
            <w:pPr>
              <w:spacing w:before="0" w:after="0" w:line="276" w:lineRule="auto"/>
            </w:pPr>
            <w:r w:rsidRPr="00DD114E">
              <w:t>Binary disclosure index (1=disclosed, 0=not disclosed)</w:t>
            </w:r>
          </w:p>
        </w:tc>
        <w:tc>
          <w:tcPr>
            <w:tcW w:w="0" w:type="auto"/>
            <w:vAlign w:val="center"/>
            <w:hideMark/>
          </w:tcPr>
          <w:p w14:paraId="201830A4" w14:textId="77777777" w:rsidR="00DD114E" w:rsidRPr="00DD114E" w:rsidRDefault="00DD114E" w:rsidP="00DD114E">
            <w:pPr>
              <w:spacing w:before="0" w:after="0" w:line="276" w:lineRule="auto"/>
            </w:pPr>
            <w:r w:rsidRPr="00DD114E">
              <w:t>Annual reports</w:t>
            </w:r>
          </w:p>
        </w:tc>
      </w:tr>
      <w:tr w:rsidR="00DD114E" w:rsidRPr="00DD114E" w14:paraId="236B05E2" w14:textId="77777777">
        <w:trPr>
          <w:tblCellSpacing w:w="15" w:type="dxa"/>
        </w:trPr>
        <w:tc>
          <w:tcPr>
            <w:tcW w:w="0" w:type="auto"/>
            <w:vAlign w:val="center"/>
            <w:hideMark/>
          </w:tcPr>
          <w:p w14:paraId="60DBCB60" w14:textId="77777777" w:rsidR="00DD114E" w:rsidRPr="00DD114E" w:rsidRDefault="00DD114E" w:rsidP="00DD114E">
            <w:pPr>
              <w:spacing w:before="0" w:after="0" w:line="276" w:lineRule="auto"/>
            </w:pPr>
            <w:r w:rsidRPr="00DD114E">
              <w:t>Social Reporting</w:t>
            </w:r>
          </w:p>
        </w:tc>
        <w:tc>
          <w:tcPr>
            <w:tcW w:w="0" w:type="auto"/>
            <w:vAlign w:val="center"/>
            <w:hideMark/>
          </w:tcPr>
          <w:p w14:paraId="6B15FE8F" w14:textId="740AEBA9" w:rsidR="00DD114E" w:rsidRPr="00DD114E" w:rsidRDefault="00DD114E" w:rsidP="00DD114E">
            <w:pPr>
              <w:spacing w:before="0" w:after="0" w:line="276" w:lineRule="auto"/>
            </w:pPr>
            <w:r w:rsidRPr="00DD114E">
              <w:t>employee welfare programmes, diversity and inclusion policies, community engagement initiatives, corporate social responsibility programmes, youth employment initiatives, customer financial inclusion initiatives, community investment activities, stakeholder engagement mechanisms, social impact programmes, and social sustainability disclosures</w:t>
            </w:r>
          </w:p>
        </w:tc>
        <w:tc>
          <w:tcPr>
            <w:tcW w:w="0" w:type="auto"/>
            <w:vAlign w:val="center"/>
            <w:hideMark/>
          </w:tcPr>
          <w:p w14:paraId="45D3A83D" w14:textId="77777777" w:rsidR="00DD114E" w:rsidRPr="00DD114E" w:rsidRDefault="00DD114E" w:rsidP="00DD114E">
            <w:pPr>
              <w:spacing w:before="0" w:after="0" w:line="276" w:lineRule="auto"/>
            </w:pPr>
            <w:r w:rsidRPr="00DD114E">
              <w:t>Disclosure index based on 10 items</w:t>
            </w:r>
          </w:p>
        </w:tc>
        <w:tc>
          <w:tcPr>
            <w:tcW w:w="0" w:type="auto"/>
            <w:vAlign w:val="center"/>
            <w:hideMark/>
          </w:tcPr>
          <w:p w14:paraId="63EA0267" w14:textId="77777777" w:rsidR="00DD114E" w:rsidRPr="00DD114E" w:rsidRDefault="00DD114E" w:rsidP="00DD114E">
            <w:pPr>
              <w:spacing w:before="0" w:after="0" w:line="276" w:lineRule="auto"/>
            </w:pPr>
            <w:r w:rsidRPr="00DD114E">
              <w:t>Annual reports</w:t>
            </w:r>
          </w:p>
        </w:tc>
      </w:tr>
      <w:tr w:rsidR="00DD114E" w:rsidRPr="00DD114E" w14:paraId="1CAC76B4" w14:textId="77777777">
        <w:trPr>
          <w:tblCellSpacing w:w="15" w:type="dxa"/>
        </w:trPr>
        <w:tc>
          <w:tcPr>
            <w:tcW w:w="0" w:type="auto"/>
            <w:vAlign w:val="center"/>
            <w:hideMark/>
          </w:tcPr>
          <w:p w14:paraId="5BCD681F" w14:textId="77777777" w:rsidR="00DD114E" w:rsidRPr="00DD114E" w:rsidRDefault="00DD114E" w:rsidP="00DD114E">
            <w:pPr>
              <w:spacing w:before="0" w:after="0" w:line="276" w:lineRule="auto"/>
            </w:pPr>
            <w:r w:rsidRPr="00DD114E">
              <w:t>Governance Reporting</w:t>
            </w:r>
          </w:p>
        </w:tc>
        <w:tc>
          <w:tcPr>
            <w:tcW w:w="0" w:type="auto"/>
            <w:vAlign w:val="center"/>
            <w:hideMark/>
          </w:tcPr>
          <w:p w14:paraId="72204FDD" w14:textId="2667EE31" w:rsidR="00DD114E" w:rsidRPr="00DD114E" w:rsidRDefault="00DD114E" w:rsidP="00DD114E">
            <w:pPr>
              <w:spacing w:before="0" w:after="0" w:line="276" w:lineRule="auto"/>
            </w:pPr>
            <w:r w:rsidRPr="00DD114E">
              <w:t>board composition disclosure, audit committee structure, risk management framework, internal audit systems, executive remuneration disclosure, governance policies, board committee structures, shareholder communication practices, governance reporting transparency, and regulatory compliance disclosures.</w:t>
            </w:r>
          </w:p>
        </w:tc>
        <w:tc>
          <w:tcPr>
            <w:tcW w:w="0" w:type="auto"/>
            <w:vAlign w:val="center"/>
            <w:hideMark/>
          </w:tcPr>
          <w:p w14:paraId="5CA4D2FC" w14:textId="77777777" w:rsidR="00DD114E" w:rsidRPr="00DD114E" w:rsidRDefault="00DD114E" w:rsidP="00DD114E">
            <w:pPr>
              <w:spacing w:before="0" w:after="0" w:line="276" w:lineRule="auto"/>
            </w:pPr>
            <w:r w:rsidRPr="00DD114E">
              <w:t>Governance disclosure index</w:t>
            </w:r>
          </w:p>
        </w:tc>
        <w:tc>
          <w:tcPr>
            <w:tcW w:w="0" w:type="auto"/>
            <w:vAlign w:val="center"/>
            <w:hideMark/>
          </w:tcPr>
          <w:p w14:paraId="3A3EF792" w14:textId="77777777" w:rsidR="00DD114E" w:rsidRPr="00DD114E" w:rsidRDefault="00DD114E" w:rsidP="00DD114E">
            <w:pPr>
              <w:spacing w:before="0" w:after="0" w:line="276" w:lineRule="auto"/>
            </w:pPr>
            <w:r w:rsidRPr="00DD114E">
              <w:t>Annual reports</w:t>
            </w:r>
          </w:p>
        </w:tc>
      </w:tr>
      <w:tr w:rsidR="00DD114E" w:rsidRPr="00DD114E" w14:paraId="6BE9326C" w14:textId="77777777" w:rsidTr="00DD114E">
        <w:trPr>
          <w:tblCellSpacing w:w="15" w:type="dxa"/>
        </w:trPr>
        <w:tc>
          <w:tcPr>
            <w:tcW w:w="0" w:type="auto"/>
            <w:tcBorders>
              <w:bottom w:val="single" w:sz="4" w:space="0" w:color="auto"/>
            </w:tcBorders>
            <w:vAlign w:val="center"/>
            <w:hideMark/>
          </w:tcPr>
          <w:p w14:paraId="1F52A8FD" w14:textId="77777777" w:rsidR="00DD114E" w:rsidRPr="00DD114E" w:rsidRDefault="00DD114E" w:rsidP="00DD114E">
            <w:pPr>
              <w:spacing w:before="0" w:after="0" w:line="276" w:lineRule="auto"/>
            </w:pPr>
            <w:r w:rsidRPr="00DD114E">
              <w:t>Firm Value (Dependent Variable)</w:t>
            </w:r>
          </w:p>
        </w:tc>
        <w:tc>
          <w:tcPr>
            <w:tcW w:w="0" w:type="auto"/>
            <w:tcBorders>
              <w:bottom w:val="single" w:sz="4" w:space="0" w:color="auto"/>
            </w:tcBorders>
            <w:vAlign w:val="center"/>
            <w:hideMark/>
          </w:tcPr>
          <w:p w14:paraId="4129C455" w14:textId="77777777" w:rsidR="00DD114E" w:rsidRPr="00DD114E" w:rsidRDefault="00DD114E" w:rsidP="00DD114E">
            <w:pPr>
              <w:spacing w:before="0" w:after="0" w:line="276" w:lineRule="auto"/>
            </w:pPr>
            <w:r w:rsidRPr="00DD114E">
              <w:t>Market capitalisation</w:t>
            </w:r>
          </w:p>
        </w:tc>
        <w:tc>
          <w:tcPr>
            <w:tcW w:w="0" w:type="auto"/>
            <w:tcBorders>
              <w:bottom w:val="single" w:sz="4" w:space="0" w:color="auto"/>
            </w:tcBorders>
            <w:vAlign w:val="center"/>
            <w:hideMark/>
          </w:tcPr>
          <w:p w14:paraId="7A5DC339" w14:textId="77777777" w:rsidR="00DD114E" w:rsidRPr="00DD114E" w:rsidRDefault="00DD114E" w:rsidP="00DD114E">
            <w:pPr>
              <w:spacing w:before="0" w:after="0" w:line="276" w:lineRule="auto"/>
            </w:pPr>
            <w:r w:rsidRPr="00DD114E">
              <w:t>Share price × total outstanding shares</w:t>
            </w:r>
          </w:p>
        </w:tc>
        <w:tc>
          <w:tcPr>
            <w:tcW w:w="0" w:type="auto"/>
            <w:tcBorders>
              <w:bottom w:val="single" w:sz="4" w:space="0" w:color="auto"/>
            </w:tcBorders>
            <w:vAlign w:val="center"/>
            <w:hideMark/>
          </w:tcPr>
          <w:p w14:paraId="7A175372" w14:textId="77777777" w:rsidR="00DD114E" w:rsidRPr="00DD114E" w:rsidRDefault="00DD114E" w:rsidP="00DD114E">
            <w:pPr>
              <w:spacing w:before="0" w:after="0" w:line="276" w:lineRule="auto"/>
            </w:pPr>
            <w:r w:rsidRPr="00DD114E">
              <w:t>NSE statistics</w:t>
            </w:r>
          </w:p>
        </w:tc>
      </w:tr>
    </w:tbl>
    <w:p w14:paraId="5D01AC60" w14:textId="40F50674" w:rsidR="00424176" w:rsidRDefault="00424176" w:rsidP="00424176">
      <w:bookmarkStart w:id="31" w:name="_Toc224408903"/>
      <w:r>
        <w:t xml:space="preserve">The ESG disclosure index in this research is comprised of three dimensions including environmental reporting, social reporting, governance reporting and are measured with ten disclosure indicators based on the sustainability reporting frameworks including the Global Reporting Initiative (GRI) and the corporate governance reporting standards. The disclosure items incorporated in the index of ESG were coded on a binary scale based on which a score of one was given when a particular ESG item has been reported by the company in its report and a score of zero when it is not reported. Each ESG dimension was then determined on the basis of the number of disclosed items divided by the number of anticipated disclosure items </w:t>
      </w:r>
      <w:r>
        <w:lastRenderedPageBreak/>
        <w:t>to formulate the disclosure score. The method yields a disclosure index that varies between 0 and 1 with the higher the index, the higher the ESG transparency</w:t>
      </w:r>
      <w:r w:rsidRPr="00DD114E">
        <w:t>.</w:t>
      </w:r>
    </w:p>
    <w:p w14:paraId="6921251A" w14:textId="263BBE56" w:rsidR="00DD114E" w:rsidRDefault="00F60CBA" w:rsidP="00F60CBA">
      <w:pPr>
        <w:pStyle w:val="Heading2"/>
      </w:pPr>
      <w:r>
        <w:t>3.7 Data Analysis</w:t>
      </w:r>
      <w:bookmarkEnd w:id="31"/>
    </w:p>
    <w:p w14:paraId="60A82249" w14:textId="764F6E23" w:rsidR="000F5EBE" w:rsidRDefault="000F5EBE" w:rsidP="000F5EBE">
      <w:r>
        <w:t xml:space="preserve">This research </w:t>
      </w:r>
      <w:r w:rsidR="00DB7A52">
        <w:t>conducted</w:t>
      </w:r>
      <w:r>
        <w:t xml:space="preserve"> quantitative statistical methodology, which is in line with the post-positivist philosophical position and deductive research mode that was used in this study. Stata will be used in the analysis. The analysis w</w:t>
      </w:r>
      <w:r w:rsidR="00DB7A52">
        <w:t>as</w:t>
      </w:r>
      <w:r>
        <w:t xml:space="preserve"> conducted through three major steps namely descriptive statistics, correlation analysis and panel regression modelling.</w:t>
      </w:r>
    </w:p>
    <w:p w14:paraId="2D3833A5" w14:textId="404F3128" w:rsidR="000F5EBE" w:rsidRDefault="000F5EBE" w:rsidP="000F5EBE">
      <w:r>
        <w:t xml:space="preserve">Descriptive statistics are used to describe the main features of the dataset and enable the researcher to realize the distribution and the central tendencies of the variables, and then proceed to inferential statistics tests (Field, 2018). In this research, descriptive statistics </w:t>
      </w:r>
      <w:r w:rsidR="00DB7A52">
        <w:t>were</w:t>
      </w:r>
      <w:r>
        <w:t xml:space="preserve"> employed to summarise the disclosure indices of the ESG and the market capitalisation of the listed companies. </w:t>
      </w:r>
    </w:p>
    <w:p w14:paraId="3E2FC340" w14:textId="409C6D23" w:rsidR="00DB7A52" w:rsidRPr="00994955" w:rsidRDefault="000F5EBE" w:rsidP="00DB7A52">
      <w:r>
        <w:t xml:space="preserve">After doing the descriptive analysis, </w:t>
      </w:r>
      <w:r w:rsidR="00DB7A52">
        <w:t>conducted</w:t>
      </w:r>
      <w:r>
        <w:t xml:space="preserve"> the correlation analysis in order to study the pair wise relation between the study variables. Correlation analysis can be used to quantify the strength and direction of the relationship between two variables, which is usually calculated as a Pearson correlation coefficient. The main analysis method employed </w:t>
      </w:r>
      <w:r w:rsidR="00DB7A52">
        <w:t>was pooled</w:t>
      </w:r>
      <w:r>
        <w:t xml:space="preserve"> regression analysis. </w:t>
      </w:r>
      <w:r w:rsidR="00DB7A52" w:rsidRPr="00994955">
        <w:t xml:space="preserve">Following the diagnostic tests and correlation analysis, a pooled regression analysis was conducted to examine the effect of </w:t>
      </w:r>
      <w:r w:rsidR="00B20C48">
        <w:t>ESG</w:t>
      </w:r>
      <w:r w:rsidR="00DB7A52" w:rsidRPr="00994955">
        <w:t xml:space="preserve"> indicators on firm market capitalization. The pooled regression model treats the dataset as a combined cross-sectional dataset and estimates the relationship between the dependent variable, </w:t>
      </w:r>
      <w:r w:rsidR="00DB7A52">
        <w:t xml:space="preserve">log of </w:t>
      </w:r>
      <w:r w:rsidR="00DB7A52" w:rsidRPr="00994955">
        <w:t>market</w:t>
      </w:r>
      <w:r w:rsidR="00DB7A52">
        <w:t xml:space="preserve"> </w:t>
      </w:r>
      <w:r w:rsidR="00DB7A52" w:rsidRPr="00994955">
        <w:t>cap</w:t>
      </w:r>
      <w:r w:rsidR="00DB7A52">
        <w:t>italization</w:t>
      </w:r>
      <w:r w:rsidR="00DB7A52" w:rsidRPr="00994955">
        <w:t>, and the independent variables, Environmental Score, Social Index Score, and Governance Index.</w:t>
      </w:r>
    </w:p>
    <w:p w14:paraId="49623728" w14:textId="77777777" w:rsidR="00DB7A52" w:rsidRPr="00994955" w:rsidRDefault="00DB7A52" w:rsidP="00DB7A52">
      <w:r w:rsidRPr="00994955">
        <w:t>The pooled regression model is specified as follows:</w:t>
      </w:r>
    </w:p>
    <w:p w14:paraId="57EAC941" w14:textId="539905EB" w:rsidR="00DB7A52" w:rsidRDefault="00000000" w:rsidP="00DB7A52">
      <m:oMathPara>
        <m:oMath>
          <m:sSub>
            <m:sSubPr>
              <m:ctrlPr>
                <w:rPr>
                  <w:rFonts w:ascii="Cambria Math" w:hAnsi="Cambria Math"/>
                  <w:i/>
                </w:rPr>
              </m:ctrlPr>
            </m:sSubPr>
            <m:e>
              <m:r>
                <m:rPr>
                  <m:sty m:val="p"/>
                </m:rPr>
                <w:rPr>
                  <w:rFonts w:ascii="Cambria Math" w:hAnsi="Cambria Math"/>
                </w:rPr>
                <m:t>ln⁡</m:t>
              </m:r>
              <m:r>
                <w:rPr>
                  <w:rFonts w:ascii="Cambria Math" w:hAnsi="Cambria Math"/>
                </w:rPr>
                <m:t>_MarkCap</m:t>
              </m:r>
            </m:e>
            <m:sub>
              <m:r>
                <w:rPr>
                  <w:rFonts w:ascii="Cambria Math" w:hAnsi="Cambria Math"/>
                </w:rPr>
                <m:t>it</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E_score</m:t>
              </m:r>
            </m:e>
            <m:sub>
              <m:r>
                <w:rPr>
                  <w:rFonts w:ascii="Cambria Math" w:hAnsi="Cambria Math"/>
                </w:rPr>
                <m:t xml:space="preserve">it </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S_score</m:t>
              </m:r>
            </m:e>
            <m:sub>
              <m:r>
                <w:rPr>
                  <w:rFonts w:ascii="Cambria Math" w:hAnsi="Cambria Math"/>
                </w:rPr>
                <m:t xml:space="preserve">it </m:t>
              </m:r>
            </m:sub>
          </m:sSub>
          <m:r>
            <w:rPr>
              <w:rFonts w:ascii="Cambria Math" w:hAnsi="Cambria Math"/>
            </w:rPr>
            <m:t xml:space="preserve">+ + </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G_score</m:t>
              </m:r>
            </m:e>
            <m:sub>
              <m:r>
                <w:rPr>
                  <w:rFonts w:ascii="Cambria Math" w:hAnsi="Cambria Math"/>
                </w:rPr>
                <m:t xml:space="preserve">it </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it</m:t>
              </m:r>
            </m:sub>
          </m:sSub>
          <m:r>
            <w:rPr>
              <w:rFonts w:ascii="Cambria Math" w:hAnsi="Cambria Math"/>
            </w:rPr>
            <m:t>………3.1</m:t>
          </m:r>
        </m:oMath>
      </m:oMathPara>
    </w:p>
    <w:p w14:paraId="788210CA" w14:textId="215EE556" w:rsidR="000F5EBE" w:rsidRDefault="00DB7A52" w:rsidP="00DB7A52">
      <w:r w:rsidRPr="00994955">
        <w:t xml:space="preserve">where </w:t>
      </w:r>
      <w:proofErr w:type="spellStart"/>
      <w:r w:rsidRPr="00994955">
        <w:t>ln_</w:t>
      </w:r>
      <w:r>
        <w:t>MarkCa</w:t>
      </w:r>
      <w:r w:rsidRPr="00994955">
        <w:t>p</w:t>
      </w:r>
      <w:proofErr w:type="spellEnd"/>
      <w:r w:rsidRPr="00994955">
        <w:t xml:space="preserve"> represents the natural logarithm of firm market capitalization,</w:t>
      </w:r>
      <w:r>
        <w:t xml:space="preserve"> </w:t>
      </w:r>
      <w:proofErr w:type="spellStart"/>
      <w:r>
        <w:t>E_score</w:t>
      </w:r>
      <w:proofErr w:type="spellEnd"/>
      <w:r>
        <w:t xml:space="preserve"> represents the environmental score, </w:t>
      </w:r>
      <w:proofErr w:type="spellStart"/>
      <w:r>
        <w:t>S_Score</w:t>
      </w:r>
      <w:proofErr w:type="spellEnd"/>
      <w:r>
        <w:t xml:space="preserve"> represents the social score, </w:t>
      </w:r>
      <w:proofErr w:type="spellStart"/>
      <w:r>
        <w:t>G_score</w:t>
      </w:r>
      <w:proofErr w:type="spellEnd"/>
      <w:r>
        <w:t xml:space="preserve"> represents the governance score, </w:t>
      </w:r>
      <m:oMath>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oMath>
      <w:r>
        <w:t xml:space="preserve"> represents the coefficients of determination,</w:t>
      </w:r>
      <w:r w:rsidRPr="009F6C87">
        <w:rPr>
          <w:rFonts w:ascii="Cambria Math" w:hAnsi="Cambria Math"/>
          <w:i/>
        </w:rPr>
        <w:t xml:space="preserve"> </w:t>
      </w:r>
      <m:oMath>
        <m:r>
          <w:rPr>
            <w:rFonts w:ascii="Cambria Math" w:hAnsi="Cambria Math"/>
          </w:rPr>
          <m:t>ε</m:t>
        </m:r>
      </m:oMath>
      <w:r>
        <w:t xml:space="preserve">  is the error term, it </w:t>
      </w:r>
      <w:r w:rsidR="00052917">
        <w:t>is</w:t>
      </w:r>
      <w:r>
        <w:t xml:space="preserve"> entity and time parameters.</w:t>
      </w:r>
    </w:p>
    <w:p w14:paraId="0D4E0756" w14:textId="315C096E" w:rsidR="000F5EBE" w:rsidRDefault="000F5EBE" w:rsidP="000F5EBE">
      <w:r>
        <w:t xml:space="preserve">A number of diagnostic tests </w:t>
      </w:r>
      <w:r w:rsidR="00DB7A52">
        <w:t>were</w:t>
      </w:r>
      <w:r>
        <w:t xml:space="preserve"> carried out before estimating the regression model to ensure that the specified assumptions of regression analysis are met. Diagnostic testing is needed to make sure that the results of the regression are valid and reliable.</w:t>
      </w:r>
      <w:r w:rsidR="00DB7A52">
        <w:t xml:space="preserve"> </w:t>
      </w:r>
      <w:r w:rsidR="009621F0">
        <w:t xml:space="preserve">First, is the multicollinearity test. </w:t>
      </w:r>
      <w:r>
        <w:t xml:space="preserve">Multicollinearity is a phenomenon that takes place when there is a high correlation among </w:t>
      </w:r>
      <w:r>
        <w:lastRenderedPageBreak/>
        <w:t xml:space="preserve">independent variables and this would tend to inflate the variance of the regression coefficients and the precision of the estimates may become low. As a measure of identifying multicollinearity, the study </w:t>
      </w:r>
      <w:r w:rsidR="009621F0">
        <w:t>involved</w:t>
      </w:r>
      <w:r>
        <w:t xml:space="preserve"> the Variance Inflation Factor (VIF). VIF of more than 10 is typically regarded as an indicator of extreme multicollinearity (Hair et al., 2022).</w:t>
      </w:r>
    </w:p>
    <w:p w14:paraId="097EFAFB" w14:textId="692661E9" w:rsidR="000F5EBE" w:rsidRDefault="009621F0" w:rsidP="000F5EBE">
      <w:r>
        <w:t>Second, is the h</w:t>
      </w:r>
      <w:r w:rsidR="000F5EBE">
        <w:t xml:space="preserve">eteroskedasticity </w:t>
      </w:r>
      <w:r>
        <w:t>t</w:t>
      </w:r>
      <w:r w:rsidR="000F5EBE">
        <w:t>est.</w:t>
      </w:r>
      <w:r>
        <w:t xml:space="preserve"> </w:t>
      </w:r>
      <w:r w:rsidR="000F5EBE">
        <w:t xml:space="preserve">Heteroskedasticity is a situation where the error variance is not homogeneous. Such violation can result in biased standard errors and unreliable testing of hypothesis. In the study, the Breusch-Pagan test </w:t>
      </w:r>
      <w:r>
        <w:t>was</w:t>
      </w:r>
      <w:r w:rsidR="000F5EBE">
        <w:t xml:space="preserve"> used in determining whether the heteroskedasticity of the regression model exists. In case heteroskedasticity is identified then strong standard errors can be used to fix the problem.</w:t>
      </w:r>
    </w:p>
    <w:p w14:paraId="2D6F009F" w14:textId="6287C22D" w:rsidR="000F5EBE" w:rsidRDefault="009621F0" w:rsidP="000F5EBE">
      <w:r>
        <w:t>Third is the autocorrelation test. The</w:t>
      </w:r>
      <w:r w:rsidR="000F5EBE">
        <w:t xml:space="preserve"> correlation of error terms over time is termed as autocorrelation. Serial correlation in panel data analysis can compromise the efficiency of regression estimates. Autocorrelation in regression residual </w:t>
      </w:r>
      <w:r>
        <w:t>was</w:t>
      </w:r>
      <w:r w:rsidR="000F5EBE">
        <w:t xml:space="preserve"> tested using the Durbin-Watson value. The value of Durbin-Watson should be close to 2 which shows lack of autocorrelation.</w:t>
      </w:r>
    </w:p>
    <w:p w14:paraId="558C2320" w14:textId="38152C0A" w:rsidR="0042754D" w:rsidRDefault="009621F0" w:rsidP="000F5EBE">
      <w:r>
        <w:t xml:space="preserve">Fourth is the normality test. </w:t>
      </w:r>
      <w:r w:rsidR="000F5EBE">
        <w:t xml:space="preserve">Jarque-Bra test </w:t>
      </w:r>
      <w:r>
        <w:t>was</w:t>
      </w:r>
      <w:r w:rsidR="000F5EBE">
        <w:t xml:space="preserve"> used to test the normality of residuals. This test is used to test the significance of the non-normality of the distribution of the residuals. The reason why normality of residuals is important is that it guarantees validity of statistical inference and hypothesis test.</w:t>
      </w:r>
    </w:p>
    <w:p w14:paraId="0BF4F3AC" w14:textId="3A77D9F6" w:rsidR="009621F0" w:rsidRDefault="009621F0" w:rsidP="009621F0">
      <w:pPr>
        <w:pStyle w:val="Heading2"/>
      </w:pPr>
      <w:bookmarkStart w:id="32" w:name="_Toc224408904"/>
      <w:r>
        <w:t>3.8 Ethical Consideration</w:t>
      </w:r>
      <w:bookmarkEnd w:id="32"/>
    </w:p>
    <w:p w14:paraId="59C42D50" w14:textId="70F01C11" w:rsidR="009621F0" w:rsidRDefault="009621F0" w:rsidP="009621F0">
      <w:pPr>
        <w:rPr>
          <w:shd w:val="clear" w:color="auto" w:fill="FFFFFF"/>
        </w:rPr>
      </w:pPr>
      <w:r>
        <w:rPr>
          <w:shd w:val="clear" w:color="auto" w:fill="FFFFFF"/>
        </w:rPr>
        <w:t xml:space="preserve">Since, the study did not collect primary data the main ethical considerations are plagiarism violations and obtaining the necessary permits to conduct the study. The researcher acknowledges that use of people work is academic misconduct, hence appropriately cited other researchers work. </w:t>
      </w:r>
    </w:p>
    <w:p w14:paraId="2B58DCEA" w14:textId="77777777" w:rsidR="00AA5EFA" w:rsidRPr="00AA5EFA" w:rsidRDefault="00AA5EFA" w:rsidP="00AA5EFA"/>
    <w:p w14:paraId="431D38D0" w14:textId="77777777" w:rsidR="008A08D6" w:rsidRPr="008A08D6" w:rsidRDefault="008A08D6" w:rsidP="008A08D6"/>
    <w:p w14:paraId="532E791E" w14:textId="5090D282" w:rsidR="008A08D6" w:rsidRDefault="00D41541" w:rsidP="00052917">
      <w:pPr>
        <w:pStyle w:val="Heading1"/>
      </w:pPr>
      <w:r>
        <w:br w:type="page"/>
      </w:r>
      <w:bookmarkStart w:id="33" w:name="_Toc224408905"/>
      <w:r>
        <w:lastRenderedPageBreak/>
        <w:t>Chapter Four: Research Results</w:t>
      </w:r>
      <w:bookmarkEnd w:id="33"/>
    </w:p>
    <w:p w14:paraId="06C9DF7F" w14:textId="6B25053B" w:rsidR="00D41541" w:rsidRDefault="00D41541" w:rsidP="00D41541">
      <w:r>
        <w:t xml:space="preserve">This chapter presents the findings of the research based on the methods described in previous chapter. </w:t>
      </w:r>
    </w:p>
    <w:p w14:paraId="7D1F7F07" w14:textId="3238A8AE" w:rsidR="00655141" w:rsidRDefault="00655141" w:rsidP="00655141">
      <w:pPr>
        <w:pStyle w:val="Heading2"/>
      </w:pPr>
      <w:bookmarkStart w:id="34" w:name="_Toc224408906"/>
      <w:r>
        <w:t>4.1 Data Description</w:t>
      </w:r>
      <w:bookmarkEnd w:id="34"/>
    </w:p>
    <w:p w14:paraId="6D7A61BB" w14:textId="7A5586C6" w:rsidR="00AD35D5" w:rsidRDefault="00AD35D5" w:rsidP="00AD35D5">
      <w:r>
        <w:t xml:space="preserve">The total number of listed companies that were identified as the target population to be </w:t>
      </w:r>
      <w:proofErr w:type="spellStart"/>
      <w:r>
        <w:t>analyzed</w:t>
      </w:r>
      <w:proofErr w:type="spellEnd"/>
      <w:r>
        <w:t xml:space="preserve"> was 62. Nevertheless, not all companies were included in the ultimate dataset due to the fact that their annual reports in some years were not accessible or available, and it was not possible to calculate the ESG disclosure indicators that were needed in the research. Therefore, the firms that were retained to be analysed included only those with full and available data.</w:t>
      </w:r>
    </w:p>
    <w:p w14:paraId="38AB1FD9" w14:textId="01625F12" w:rsidR="00AD35D5" w:rsidRDefault="00AD35D5" w:rsidP="00AD35D5">
      <w:r>
        <w:t>The analysis focuses on the three years between 2022 and 2024. The final dataset comprised of 166 firm-year observations after discarding the missing annual reports and incomplete data of the firms. The panel dataset was made up by compiling ESG disclosure data of the annual reports of sampled firms, and market capitalization data were found in dependable databases of market capitalization and market financial sources.</w:t>
      </w:r>
    </w:p>
    <w:p w14:paraId="1A3B4D73" w14:textId="64D62E17" w:rsidR="00D41541" w:rsidRDefault="00FE055B" w:rsidP="00FE055B">
      <w:pPr>
        <w:pStyle w:val="Heading2"/>
      </w:pPr>
      <w:bookmarkStart w:id="35" w:name="_Toc224408907"/>
      <w:r>
        <w:t>4.</w:t>
      </w:r>
      <w:r w:rsidR="00655141">
        <w:t>2</w:t>
      </w:r>
      <w:r>
        <w:t xml:space="preserve"> Descriptive Statistical Analysis</w:t>
      </w:r>
      <w:bookmarkEnd w:id="35"/>
    </w:p>
    <w:p w14:paraId="42FDCA5E" w14:textId="2CF91ED4" w:rsidR="00FE055B" w:rsidRDefault="00FE055B" w:rsidP="00FE055B">
      <w:r>
        <w:t>Descriptive statistics, particularly the measures of central tendency were examined to determine how the data distributes itself. Moreover, the research sought to examine yearly trend of the data. The findings are as presented in Table 4.1.</w:t>
      </w:r>
    </w:p>
    <w:p w14:paraId="1B3E5790" w14:textId="77777777" w:rsidR="00AD35D5" w:rsidRDefault="00AD35D5" w:rsidP="00AD35D5">
      <w:r>
        <w:t>As shown in Table 4.1, the descriptive statistics gives an indication on the level of disclosure of ESG and market capitalization of firms sampled. The environmental disclosure index registers an average score of 0.542, which means that companies report a little above half of the number of environmental indicators used in the research. The standard deviation is relatively high (0.282) indicating that there is a great variance in the environmental reporting practice among firms. Moreover, a maximum of 1 implies that there is at least one company which has reported to practice all the environment indicators. The score on environmental disclosure indicates a slow increment with 0.511 in 2022 and 0.560 in 2024, which is the consistent growth in the environmental reporting of the listed companies.</w:t>
      </w:r>
    </w:p>
    <w:p w14:paraId="320ADB8B" w14:textId="4F98DD15" w:rsidR="00FE055B" w:rsidRDefault="00FE055B" w:rsidP="00FE055B">
      <w:pPr>
        <w:pStyle w:val="Heading4"/>
      </w:pPr>
      <w:bookmarkStart w:id="36" w:name="_Toc224408793"/>
      <w:r>
        <w:lastRenderedPageBreak/>
        <w:t>Table 4.1 Descriptive Statistics Results</w:t>
      </w:r>
      <w:bookmarkEnd w:id="36"/>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4"/>
        <w:gridCol w:w="845"/>
        <w:gridCol w:w="865"/>
        <w:gridCol w:w="849"/>
        <w:gridCol w:w="1050"/>
        <w:gridCol w:w="849"/>
        <w:gridCol w:w="903"/>
        <w:gridCol w:w="903"/>
        <w:gridCol w:w="918"/>
      </w:tblGrid>
      <w:tr w:rsidR="00FE055B" w:rsidRPr="00FE055B" w14:paraId="14250102" w14:textId="77777777" w:rsidTr="00550023">
        <w:trPr>
          <w:tblHeader/>
          <w:tblCellSpacing w:w="15" w:type="dxa"/>
        </w:trPr>
        <w:tc>
          <w:tcPr>
            <w:tcW w:w="1799" w:type="dxa"/>
            <w:tcBorders>
              <w:top w:val="single" w:sz="4" w:space="0" w:color="auto"/>
              <w:bottom w:val="single" w:sz="4" w:space="0" w:color="auto"/>
            </w:tcBorders>
            <w:vAlign w:val="center"/>
            <w:hideMark/>
          </w:tcPr>
          <w:p w14:paraId="4D372118" w14:textId="77777777" w:rsidR="00FE055B" w:rsidRPr="00FE055B" w:rsidRDefault="00FE055B" w:rsidP="006C209F">
            <w:pPr>
              <w:spacing w:before="0"/>
              <w:rPr>
                <w:rFonts w:cs="Times New Roman"/>
                <w:b/>
                <w:bCs/>
                <w:sz w:val="22"/>
              </w:rPr>
            </w:pPr>
            <w:r w:rsidRPr="00FE055B">
              <w:rPr>
                <w:rFonts w:cs="Times New Roman"/>
                <w:b/>
                <w:bCs/>
                <w:sz w:val="22"/>
              </w:rPr>
              <w:t>Variable</w:t>
            </w:r>
          </w:p>
        </w:tc>
        <w:tc>
          <w:tcPr>
            <w:tcW w:w="815" w:type="dxa"/>
            <w:tcBorders>
              <w:top w:val="single" w:sz="4" w:space="0" w:color="auto"/>
              <w:bottom w:val="single" w:sz="4" w:space="0" w:color="auto"/>
            </w:tcBorders>
            <w:vAlign w:val="center"/>
            <w:hideMark/>
          </w:tcPr>
          <w:p w14:paraId="56FD8536" w14:textId="77777777" w:rsidR="00FE055B" w:rsidRPr="00FE055B" w:rsidRDefault="00FE055B" w:rsidP="006C209F">
            <w:pPr>
              <w:spacing w:before="0"/>
              <w:rPr>
                <w:rFonts w:cs="Times New Roman"/>
                <w:b/>
                <w:bCs/>
                <w:sz w:val="22"/>
              </w:rPr>
            </w:pPr>
            <w:proofErr w:type="spellStart"/>
            <w:r w:rsidRPr="00FE055B">
              <w:rPr>
                <w:rFonts w:cs="Times New Roman"/>
                <w:b/>
                <w:bCs/>
                <w:sz w:val="22"/>
              </w:rPr>
              <w:t>Obs</w:t>
            </w:r>
            <w:proofErr w:type="spellEnd"/>
          </w:p>
        </w:tc>
        <w:tc>
          <w:tcPr>
            <w:tcW w:w="0" w:type="auto"/>
            <w:tcBorders>
              <w:top w:val="single" w:sz="4" w:space="0" w:color="auto"/>
              <w:bottom w:val="single" w:sz="4" w:space="0" w:color="auto"/>
            </w:tcBorders>
            <w:vAlign w:val="center"/>
            <w:hideMark/>
          </w:tcPr>
          <w:p w14:paraId="56EC4D3F" w14:textId="77777777" w:rsidR="00FE055B" w:rsidRPr="00FE055B" w:rsidRDefault="00FE055B" w:rsidP="006C209F">
            <w:pPr>
              <w:spacing w:before="0"/>
              <w:rPr>
                <w:rFonts w:cs="Times New Roman"/>
                <w:b/>
                <w:bCs/>
                <w:sz w:val="22"/>
              </w:rPr>
            </w:pPr>
            <w:r w:rsidRPr="00FE055B">
              <w:rPr>
                <w:rFonts w:cs="Times New Roman"/>
                <w:b/>
                <w:bCs/>
                <w:sz w:val="22"/>
              </w:rPr>
              <w:t>Mean</w:t>
            </w:r>
          </w:p>
        </w:tc>
        <w:tc>
          <w:tcPr>
            <w:tcW w:w="0" w:type="auto"/>
            <w:tcBorders>
              <w:top w:val="single" w:sz="4" w:space="0" w:color="auto"/>
              <w:bottom w:val="single" w:sz="4" w:space="0" w:color="auto"/>
            </w:tcBorders>
            <w:vAlign w:val="center"/>
            <w:hideMark/>
          </w:tcPr>
          <w:p w14:paraId="425C418E" w14:textId="77777777" w:rsidR="00FE055B" w:rsidRPr="00FE055B" w:rsidRDefault="00FE055B" w:rsidP="006C209F">
            <w:pPr>
              <w:spacing w:before="0"/>
              <w:rPr>
                <w:rFonts w:cs="Times New Roman"/>
                <w:b/>
                <w:bCs/>
                <w:sz w:val="22"/>
              </w:rPr>
            </w:pPr>
            <w:r w:rsidRPr="00FE055B">
              <w:rPr>
                <w:rFonts w:cs="Times New Roman"/>
                <w:b/>
                <w:bCs/>
                <w:sz w:val="22"/>
              </w:rPr>
              <w:t>Std. Dev.</w:t>
            </w:r>
          </w:p>
        </w:tc>
        <w:tc>
          <w:tcPr>
            <w:tcW w:w="0" w:type="auto"/>
            <w:tcBorders>
              <w:top w:val="single" w:sz="4" w:space="0" w:color="auto"/>
              <w:bottom w:val="single" w:sz="4" w:space="0" w:color="auto"/>
            </w:tcBorders>
            <w:vAlign w:val="center"/>
            <w:hideMark/>
          </w:tcPr>
          <w:p w14:paraId="684BABFE" w14:textId="77777777" w:rsidR="00FE055B" w:rsidRPr="00FE055B" w:rsidRDefault="00FE055B" w:rsidP="006C209F">
            <w:pPr>
              <w:spacing w:before="0"/>
              <w:rPr>
                <w:rFonts w:cs="Times New Roman"/>
                <w:b/>
                <w:bCs/>
                <w:sz w:val="22"/>
              </w:rPr>
            </w:pPr>
            <w:r w:rsidRPr="00FE055B">
              <w:rPr>
                <w:rFonts w:cs="Times New Roman"/>
                <w:b/>
                <w:bCs/>
                <w:sz w:val="22"/>
              </w:rPr>
              <w:t>Min</w:t>
            </w:r>
          </w:p>
        </w:tc>
        <w:tc>
          <w:tcPr>
            <w:tcW w:w="0" w:type="auto"/>
            <w:tcBorders>
              <w:top w:val="single" w:sz="4" w:space="0" w:color="auto"/>
              <w:bottom w:val="single" w:sz="4" w:space="0" w:color="auto"/>
            </w:tcBorders>
            <w:vAlign w:val="center"/>
            <w:hideMark/>
          </w:tcPr>
          <w:p w14:paraId="3A120D16" w14:textId="77777777" w:rsidR="00FE055B" w:rsidRPr="00FE055B" w:rsidRDefault="00FE055B" w:rsidP="006C209F">
            <w:pPr>
              <w:spacing w:before="0"/>
              <w:rPr>
                <w:rFonts w:cs="Times New Roman"/>
                <w:b/>
                <w:bCs/>
                <w:sz w:val="22"/>
              </w:rPr>
            </w:pPr>
            <w:r w:rsidRPr="00FE055B">
              <w:rPr>
                <w:rFonts w:cs="Times New Roman"/>
                <w:b/>
                <w:bCs/>
                <w:sz w:val="22"/>
              </w:rPr>
              <w:t>Max</w:t>
            </w:r>
          </w:p>
        </w:tc>
        <w:tc>
          <w:tcPr>
            <w:tcW w:w="0" w:type="auto"/>
            <w:tcBorders>
              <w:top w:val="single" w:sz="4" w:space="0" w:color="auto"/>
              <w:bottom w:val="single" w:sz="4" w:space="0" w:color="auto"/>
            </w:tcBorders>
            <w:vAlign w:val="center"/>
            <w:hideMark/>
          </w:tcPr>
          <w:p w14:paraId="618CC85A" w14:textId="77777777" w:rsidR="00FE055B" w:rsidRPr="00FE055B" w:rsidRDefault="00FE055B" w:rsidP="006C209F">
            <w:pPr>
              <w:spacing w:before="0"/>
              <w:rPr>
                <w:rFonts w:cs="Times New Roman"/>
                <w:b/>
                <w:bCs/>
                <w:sz w:val="22"/>
              </w:rPr>
            </w:pPr>
            <w:r w:rsidRPr="00FE055B">
              <w:rPr>
                <w:rFonts w:cs="Times New Roman"/>
                <w:b/>
                <w:bCs/>
                <w:sz w:val="22"/>
              </w:rPr>
              <w:t>2022 Mean</w:t>
            </w:r>
          </w:p>
        </w:tc>
        <w:tc>
          <w:tcPr>
            <w:tcW w:w="0" w:type="auto"/>
            <w:tcBorders>
              <w:top w:val="single" w:sz="4" w:space="0" w:color="auto"/>
              <w:bottom w:val="single" w:sz="4" w:space="0" w:color="auto"/>
            </w:tcBorders>
            <w:vAlign w:val="center"/>
            <w:hideMark/>
          </w:tcPr>
          <w:p w14:paraId="70EF09D9" w14:textId="77777777" w:rsidR="00FE055B" w:rsidRPr="00FE055B" w:rsidRDefault="00FE055B" w:rsidP="006C209F">
            <w:pPr>
              <w:spacing w:before="0"/>
              <w:rPr>
                <w:rFonts w:cs="Times New Roman"/>
                <w:b/>
                <w:bCs/>
                <w:sz w:val="22"/>
              </w:rPr>
            </w:pPr>
            <w:r w:rsidRPr="00FE055B">
              <w:rPr>
                <w:rFonts w:cs="Times New Roman"/>
                <w:b/>
                <w:bCs/>
                <w:sz w:val="22"/>
              </w:rPr>
              <w:t>2023 Mean</w:t>
            </w:r>
          </w:p>
        </w:tc>
        <w:tc>
          <w:tcPr>
            <w:tcW w:w="0" w:type="auto"/>
            <w:tcBorders>
              <w:top w:val="single" w:sz="4" w:space="0" w:color="auto"/>
              <w:bottom w:val="single" w:sz="4" w:space="0" w:color="auto"/>
            </w:tcBorders>
            <w:vAlign w:val="center"/>
            <w:hideMark/>
          </w:tcPr>
          <w:p w14:paraId="1D59ABEA" w14:textId="77777777" w:rsidR="00FE055B" w:rsidRPr="00FE055B" w:rsidRDefault="00FE055B" w:rsidP="006C209F">
            <w:pPr>
              <w:spacing w:before="0"/>
              <w:rPr>
                <w:rFonts w:cs="Times New Roman"/>
                <w:b/>
                <w:bCs/>
                <w:sz w:val="22"/>
              </w:rPr>
            </w:pPr>
            <w:r w:rsidRPr="00FE055B">
              <w:rPr>
                <w:rFonts w:cs="Times New Roman"/>
                <w:b/>
                <w:bCs/>
                <w:sz w:val="22"/>
              </w:rPr>
              <w:t>2024 Mean</w:t>
            </w:r>
          </w:p>
        </w:tc>
      </w:tr>
      <w:tr w:rsidR="00FE055B" w:rsidRPr="00FE055B" w14:paraId="7D644342" w14:textId="77777777" w:rsidTr="00550023">
        <w:trPr>
          <w:tblCellSpacing w:w="15" w:type="dxa"/>
        </w:trPr>
        <w:tc>
          <w:tcPr>
            <w:tcW w:w="1799" w:type="dxa"/>
            <w:vAlign w:val="center"/>
            <w:hideMark/>
          </w:tcPr>
          <w:p w14:paraId="6AA46AC3" w14:textId="77777777" w:rsidR="00FE055B" w:rsidRPr="00FE055B" w:rsidRDefault="00FE055B" w:rsidP="006C209F">
            <w:pPr>
              <w:spacing w:before="0"/>
              <w:rPr>
                <w:rFonts w:cs="Times New Roman"/>
                <w:sz w:val="22"/>
              </w:rPr>
            </w:pPr>
            <w:r w:rsidRPr="00FE055B">
              <w:rPr>
                <w:rFonts w:cs="Times New Roman"/>
                <w:sz w:val="22"/>
              </w:rPr>
              <w:t>Environmental Score (</w:t>
            </w:r>
            <w:proofErr w:type="spellStart"/>
            <w:r w:rsidRPr="00FE055B">
              <w:rPr>
                <w:rFonts w:cs="Times New Roman"/>
                <w:sz w:val="22"/>
              </w:rPr>
              <w:t>E_score</w:t>
            </w:r>
            <w:proofErr w:type="spellEnd"/>
            <w:r w:rsidRPr="00FE055B">
              <w:rPr>
                <w:rFonts w:cs="Times New Roman"/>
                <w:sz w:val="22"/>
              </w:rPr>
              <w:t>)</w:t>
            </w:r>
          </w:p>
        </w:tc>
        <w:tc>
          <w:tcPr>
            <w:tcW w:w="815" w:type="dxa"/>
            <w:vAlign w:val="center"/>
            <w:hideMark/>
          </w:tcPr>
          <w:p w14:paraId="40A0AE28" w14:textId="77777777" w:rsidR="00FE055B" w:rsidRPr="00FE055B" w:rsidRDefault="00FE055B" w:rsidP="006C209F">
            <w:pPr>
              <w:spacing w:before="0"/>
              <w:rPr>
                <w:rFonts w:cs="Times New Roman"/>
                <w:sz w:val="22"/>
              </w:rPr>
            </w:pPr>
            <w:r w:rsidRPr="00FE055B">
              <w:rPr>
                <w:rFonts w:cs="Times New Roman"/>
                <w:sz w:val="22"/>
              </w:rPr>
              <w:t>166</w:t>
            </w:r>
          </w:p>
        </w:tc>
        <w:tc>
          <w:tcPr>
            <w:tcW w:w="0" w:type="auto"/>
            <w:vAlign w:val="center"/>
            <w:hideMark/>
          </w:tcPr>
          <w:p w14:paraId="6F45FCE9" w14:textId="77777777" w:rsidR="00FE055B" w:rsidRPr="00FE055B" w:rsidRDefault="00FE055B" w:rsidP="006C209F">
            <w:pPr>
              <w:spacing w:before="0"/>
              <w:rPr>
                <w:rFonts w:cs="Times New Roman"/>
                <w:sz w:val="22"/>
              </w:rPr>
            </w:pPr>
            <w:r w:rsidRPr="00FE055B">
              <w:rPr>
                <w:rFonts w:cs="Times New Roman"/>
                <w:sz w:val="22"/>
              </w:rPr>
              <w:t>0.542</w:t>
            </w:r>
          </w:p>
        </w:tc>
        <w:tc>
          <w:tcPr>
            <w:tcW w:w="0" w:type="auto"/>
            <w:vAlign w:val="center"/>
            <w:hideMark/>
          </w:tcPr>
          <w:p w14:paraId="6B046250" w14:textId="77777777" w:rsidR="00FE055B" w:rsidRPr="00FE055B" w:rsidRDefault="00FE055B" w:rsidP="006C209F">
            <w:pPr>
              <w:spacing w:before="0"/>
              <w:rPr>
                <w:rFonts w:cs="Times New Roman"/>
                <w:sz w:val="22"/>
              </w:rPr>
            </w:pPr>
            <w:r w:rsidRPr="00FE055B">
              <w:rPr>
                <w:rFonts w:cs="Times New Roman"/>
                <w:sz w:val="22"/>
              </w:rPr>
              <w:t>0.282</w:t>
            </w:r>
          </w:p>
        </w:tc>
        <w:tc>
          <w:tcPr>
            <w:tcW w:w="0" w:type="auto"/>
            <w:vAlign w:val="center"/>
            <w:hideMark/>
          </w:tcPr>
          <w:p w14:paraId="223C9804" w14:textId="77777777" w:rsidR="00FE055B" w:rsidRPr="00FE055B" w:rsidRDefault="00FE055B" w:rsidP="006C209F">
            <w:pPr>
              <w:spacing w:before="0"/>
              <w:rPr>
                <w:rFonts w:cs="Times New Roman"/>
                <w:sz w:val="22"/>
              </w:rPr>
            </w:pPr>
            <w:r w:rsidRPr="00FE055B">
              <w:rPr>
                <w:rFonts w:cs="Times New Roman"/>
                <w:sz w:val="22"/>
              </w:rPr>
              <w:t>0.000</w:t>
            </w:r>
          </w:p>
        </w:tc>
        <w:tc>
          <w:tcPr>
            <w:tcW w:w="0" w:type="auto"/>
            <w:vAlign w:val="center"/>
            <w:hideMark/>
          </w:tcPr>
          <w:p w14:paraId="09A09C29" w14:textId="77777777" w:rsidR="00FE055B" w:rsidRPr="00FE055B" w:rsidRDefault="00FE055B" w:rsidP="006C209F">
            <w:pPr>
              <w:spacing w:before="0"/>
              <w:rPr>
                <w:rFonts w:cs="Times New Roman"/>
                <w:sz w:val="22"/>
              </w:rPr>
            </w:pPr>
            <w:r w:rsidRPr="00FE055B">
              <w:rPr>
                <w:rFonts w:cs="Times New Roman"/>
                <w:sz w:val="22"/>
              </w:rPr>
              <w:t>1.000</w:t>
            </w:r>
          </w:p>
        </w:tc>
        <w:tc>
          <w:tcPr>
            <w:tcW w:w="0" w:type="auto"/>
            <w:vAlign w:val="center"/>
            <w:hideMark/>
          </w:tcPr>
          <w:p w14:paraId="7193880A" w14:textId="77777777" w:rsidR="00FE055B" w:rsidRPr="00FE055B" w:rsidRDefault="00FE055B" w:rsidP="006C209F">
            <w:pPr>
              <w:spacing w:before="0"/>
              <w:rPr>
                <w:rFonts w:cs="Times New Roman"/>
                <w:sz w:val="22"/>
              </w:rPr>
            </w:pPr>
            <w:r w:rsidRPr="00FE055B">
              <w:rPr>
                <w:rFonts w:cs="Times New Roman"/>
                <w:sz w:val="22"/>
              </w:rPr>
              <w:t>0.511</w:t>
            </w:r>
          </w:p>
        </w:tc>
        <w:tc>
          <w:tcPr>
            <w:tcW w:w="0" w:type="auto"/>
            <w:vAlign w:val="center"/>
            <w:hideMark/>
          </w:tcPr>
          <w:p w14:paraId="43D6DBD9" w14:textId="77777777" w:rsidR="00FE055B" w:rsidRPr="00FE055B" w:rsidRDefault="00FE055B" w:rsidP="006C209F">
            <w:pPr>
              <w:spacing w:before="0"/>
              <w:rPr>
                <w:rFonts w:cs="Times New Roman"/>
                <w:sz w:val="22"/>
              </w:rPr>
            </w:pPr>
            <w:r w:rsidRPr="00FE055B">
              <w:rPr>
                <w:rFonts w:cs="Times New Roman"/>
                <w:sz w:val="22"/>
              </w:rPr>
              <w:t>0.555</w:t>
            </w:r>
          </w:p>
        </w:tc>
        <w:tc>
          <w:tcPr>
            <w:tcW w:w="0" w:type="auto"/>
            <w:vAlign w:val="center"/>
            <w:hideMark/>
          </w:tcPr>
          <w:p w14:paraId="24BCE32F" w14:textId="77777777" w:rsidR="00FE055B" w:rsidRPr="00FE055B" w:rsidRDefault="00FE055B" w:rsidP="006C209F">
            <w:pPr>
              <w:spacing w:before="0"/>
              <w:rPr>
                <w:rFonts w:cs="Times New Roman"/>
                <w:sz w:val="22"/>
              </w:rPr>
            </w:pPr>
            <w:r w:rsidRPr="00FE055B">
              <w:rPr>
                <w:rFonts w:cs="Times New Roman"/>
                <w:sz w:val="22"/>
              </w:rPr>
              <w:t>0.560</w:t>
            </w:r>
          </w:p>
        </w:tc>
      </w:tr>
      <w:tr w:rsidR="00FE055B" w:rsidRPr="00FE055B" w14:paraId="4F02B9E9" w14:textId="77777777" w:rsidTr="00550023">
        <w:trPr>
          <w:tblCellSpacing w:w="15" w:type="dxa"/>
        </w:trPr>
        <w:tc>
          <w:tcPr>
            <w:tcW w:w="1799" w:type="dxa"/>
            <w:vAlign w:val="center"/>
            <w:hideMark/>
          </w:tcPr>
          <w:p w14:paraId="0A753C3B" w14:textId="77777777" w:rsidR="00FE055B" w:rsidRPr="00FE055B" w:rsidRDefault="00FE055B" w:rsidP="006C209F">
            <w:pPr>
              <w:spacing w:before="0"/>
              <w:rPr>
                <w:rFonts w:cs="Times New Roman"/>
                <w:sz w:val="22"/>
              </w:rPr>
            </w:pPr>
            <w:r w:rsidRPr="00FE055B">
              <w:rPr>
                <w:rFonts w:cs="Times New Roman"/>
                <w:sz w:val="22"/>
              </w:rPr>
              <w:t>Social Index Score</w:t>
            </w:r>
          </w:p>
        </w:tc>
        <w:tc>
          <w:tcPr>
            <w:tcW w:w="815" w:type="dxa"/>
            <w:vAlign w:val="center"/>
            <w:hideMark/>
          </w:tcPr>
          <w:p w14:paraId="4E9463A6" w14:textId="77777777" w:rsidR="00FE055B" w:rsidRPr="00FE055B" w:rsidRDefault="00FE055B" w:rsidP="006C209F">
            <w:pPr>
              <w:spacing w:before="0"/>
              <w:rPr>
                <w:rFonts w:cs="Times New Roman"/>
                <w:sz w:val="22"/>
              </w:rPr>
            </w:pPr>
            <w:r w:rsidRPr="00FE055B">
              <w:rPr>
                <w:rFonts w:cs="Times New Roman"/>
                <w:sz w:val="22"/>
              </w:rPr>
              <w:t>166</w:t>
            </w:r>
          </w:p>
        </w:tc>
        <w:tc>
          <w:tcPr>
            <w:tcW w:w="0" w:type="auto"/>
            <w:vAlign w:val="center"/>
            <w:hideMark/>
          </w:tcPr>
          <w:p w14:paraId="2DBFA455" w14:textId="77777777" w:rsidR="00FE055B" w:rsidRPr="00FE055B" w:rsidRDefault="00FE055B" w:rsidP="006C209F">
            <w:pPr>
              <w:spacing w:before="0"/>
              <w:rPr>
                <w:rFonts w:cs="Times New Roman"/>
                <w:sz w:val="22"/>
              </w:rPr>
            </w:pPr>
            <w:r w:rsidRPr="00FE055B">
              <w:rPr>
                <w:rFonts w:cs="Times New Roman"/>
                <w:sz w:val="22"/>
              </w:rPr>
              <w:t>0.651</w:t>
            </w:r>
          </w:p>
        </w:tc>
        <w:tc>
          <w:tcPr>
            <w:tcW w:w="0" w:type="auto"/>
            <w:vAlign w:val="center"/>
            <w:hideMark/>
          </w:tcPr>
          <w:p w14:paraId="2C10203B" w14:textId="77777777" w:rsidR="00FE055B" w:rsidRPr="00FE055B" w:rsidRDefault="00FE055B" w:rsidP="006C209F">
            <w:pPr>
              <w:spacing w:before="0"/>
              <w:rPr>
                <w:rFonts w:cs="Times New Roman"/>
                <w:sz w:val="22"/>
              </w:rPr>
            </w:pPr>
            <w:r w:rsidRPr="00FE055B">
              <w:rPr>
                <w:rFonts w:cs="Times New Roman"/>
                <w:sz w:val="22"/>
              </w:rPr>
              <w:t>0.299</w:t>
            </w:r>
          </w:p>
        </w:tc>
        <w:tc>
          <w:tcPr>
            <w:tcW w:w="0" w:type="auto"/>
            <w:vAlign w:val="center"/>
            <w:hideMark/>
          </w:tcPr>
          <w:p w14:paraId="01B138A0" w14:textId="77777777" w:rsidR="00FE055B" w:rsidRPr="00FE055B" w:rsidRDefault="00FE055B" w:rsidP="006C209F">
            <w:pPr>
              <w:spacing w:before="0"/>
              <w:rPr>
                <w:rFonts w:cs="Times New Roman"/>
                <w:sz w:val="22"/>
              </w:rPr>
            </w:pPr>
            <w:r w:rsidRPr="00FE055B">
              <w:rPr>
                <w:rFonts w:cs="Times New Roman"/>
                <w:sz w:val="22"/>
              </w:rPr>
              <w:t>0.000</w:t>
            </w:r>
          </w:p>
        </w:tc>
        <w:tc>
          <w:tcPr>
            <w:tcW w:w="0" w:type="auto"/>
            <w:vAlign w:val="center"/>
            <w:hideMark/>
          </w:tcPr>
          <w:p w14:paraId="06D606A7" w14:textId="77777777" w:rsidR="00FE055B" w:rsidRPr="00FE055B" w:rsidRDefault="00FE055B" w:rsidP="006C209F">
            <w:pPr>
              <w:spacing w:before="0"/>
              <w:rPr>
                <w:rFonts w:cs="Times New Roman"/>
                <w:sz w:val="22"/>
              </w:rPr>
            </w:pPr>
            <w:r w:rsidRPr="00FE055B">
              <w:rPr>
                <w:rFonts w:cs="Times New Roman"/>
                <w:sz w:val="22"/>
              </w:rPr>
              <w:t>1.000</w:t>
            </w:r>
          </w:p>
        </w:tc>
        <w:tc>
          <w:tcPr>
            <w:tcW w:w="0" w:type="auto"/>
            <w:vAlign w:val="center"/>
            <w:hideMark/>
          </w:tcPr>
          <w:p w14:paraId="5BC9F4CF" w14:textId="77777777" w:rsidR="00FE055B" w:rsidRPr="00FE055B" w:rsidRDefault="00FE055B" w:rsidP="006C209F">
            <w:pPr>
              <w:spacing w:before="0"/>
              <w:rPr>
                <w:rFonts w:cs="Times New Roman"/>
                <w:sz w:val="22"/>
              </w:rPr>
            </w:pPr>
            <w:r w:rsidRPr="00FE055B">
              <w:rPr>
                <w:rFonts w:cs="Times New Roman"/>
                <w:sz w:val="22"/>
              </w:rPr>
              <w:t>0.636</w:t>
            </w:r>
          </w:p>
        </w:tc>
        <w:tc>
          <w:tcPr>
            <w:tcW w:w="0" w:type="auto"/>
            <w:vAlign w:val="center"/>
            <w:hideMark/>
          </w:tcPr>
          <w:p w14:paraId="6DC18640" w14:textId="77777777" w:rsidR="00FE055B" w:rsidRPr="00FE055B" w:rsidRDefault="00FE055B" w:rsidP="006C209F">
            <w:pPr>
              <w:spacing w:before="0"/>
              <w:rPr>
                <w:rFonts w:cs="Times New Roman"/>
                <w:sz w:val="22"/>
              </w:rPr>
            </w:pPr>
            <w:r w:rsidRPr="00FE055B">
              <w:rPr>
                <w:rFonts w:cs="Times New Roman"/>
                <w:sz w:val="22"/>
              </w:rPr>
              <w:t>0.639</w:t>
            </w:r>
          </w:p>
        </w:tc>
        <w:tc>
          <w:tcPr>
            <w:tcW w:w="0" w:type="auto"/>
            <w:vAlign w:val="center"/>
            <w:hideMark/>
          </w:tcPr>
          <w:p w14:paraId="344826BC" w14:textId="77777777" w:rsidR="00FE055B" w:rsidRPr="00FE055B" w:rsidRDefault="00FE055B" w:rsidP="006C209F">
            <w:pPr>
              <w:spacing w:before="0"/>
              <w:rPr>
                <w:rFonts w:cs="Times New Roman"/>
                <w:sz w:val="22"/>
              </w:rPr>
            </w:pPr>
            <w:r w:rsidRPr="00FE055B">
              <w:rPr>
                <w:rFonts w:cs="Times New Roman"/>
                <w:sz w:val="22"/>
              </w:rPr>
              <w:t>0.678</w:t>
            </w:r>
          </w:p>
        </w:tc>
      </w:tr>
      <w:tr w:rsidR="00FE055B" w:rsidRPr="00FE055B" w14:paraId="59304E57" w14:textId="77777777" w:rsidTr="00550023">
        <w:trPr>
          <w:tblCellSpacing w:w="15" w:type="dxa"/>
        </w:trPr>
        <w:tc>
          <w:tcPr>
            <w:tcW w:w="1799" w:type="dxa"/>
            <w:vAlign w:val="center"/>
            <w:hideMark/>
          </w:tcPr>
          <w:p w14:paraId="36A301A7" w14:textId="77777777" w:rsidR="00FE055B" w:rsidRPr="00FE055B" w:rsidRDefault="00FE055B" w:rsidP="006C209F">
            <w:pPr>
              <w:spacing w:before="0"/>
              <w:rPr>
                <w:rFonts w:cs="Times New Roman"/>
                <w:sz w:val="22"/>
              </w:rPr>
            </w:pPr>
            <w:r w:rsidRPr="00FE055B">
              <w:rPr>
                <w:rFonts w:cs="Times New Roman"/>
                <w:sz w:val="22"/>
              </w:rPr>
              <w:t>Governance Index</w:t>
            </w:r>
          </w:p>
        </w:tc>
        <w:tc>
          <w:tcPr>
            <w:tcW w:w="815" w:type="dxa"/>
            <w:vAlign w:val="center"/>
            <w:hideMark/>
          </w:tcPr>
          <w:p w14:paraId="26832DA0" w14:textId="77777777" w:rsidR="00FE055B" w:rsidRPr="00FE055B" w:rsidRDefault="00FE055B" w:rsidP="006C209F">
            <w:pPr>
              <w:spacing w:before="0"/>
              <w:rPr>
                <w:rFonts w:cs="Times New Roman"/>
                <w:sz w:val="22"/>
              </w:rPr>
            </w:pPr>
            <w:r w:rsidRPr="00FE055B">
              <w:rPr>
                <w:rFonts w:cs="Times New Roman"/>
                <w:sz w:val="22"/>
              </w:rPr>
              <w:t>166</w:t>
            </w:r>
          </w:p>
        </w:tc>
        <w:tc>
          <w:tcPr>
            <w:tcW w:w="0" w:type="auto"/>
            <w:vAlign w:val="center"/>
            <w:hideMark/>
          </w:tcPr>
          <w:p w14:paraId="117A1152" w14:textId="77777777" w:rsidR="00FE055B" w:rsidRPr="00FE055B" w:rsidRDefault="00FE055B" w:rsidP="006C209F">
            <w:pPr>
              <w:spacing w:before="0"/>
              <w:rPr>
                <w:rFonts w:cs="Times New Roman"/>
                <w:sz w:val="22"/>
              </w:rPr>
            </w:pPr>
            <w:r w:rsidRPr="00FE055B">
              <w:rPr>
                <w:rFonts w:cs="Times New Roman"/>
                <w:sz w:val="22"/>
              </w:rPr>
              <w:t>0.734</w:t>
            </w:r>
          </w:p>
        </w:tc>
        <w:tc>
          <w:tcPr>
            <w:tcW w:w="0" w:type="auto"/>
            <w:vAlign w:val="center"/>
            <w:hideMark/>
          </w:tcPr>
          <w:p w14:paraId="12F72120" w14:textId="77777777" w:rsidR="00FE055B" w:rsidRPr="00FE055B" w:rsidRDefault="00FE055B" w:rsidP="006C209F">
            <w:pPr>
              <w:spacing w:before="0"/>
              <w:rPr>
                <w:rFonts w:cs="Times New Roman"/>
                <w:sz w:val="22"/>
              </w:rPr>
            </w:pPr>
            <w:r w:rsidRPr="00FE055B">
              <w:rPr>
                <w:rFonts w:cs="Times New Roman"/>
                <w:sz w:val="22"/>
              </w:rPr>
              <w:t>0.200</w:t>
            </w:r>
          </w:p>
        </w:tc>
        <w:tc>
          <w:tcPr>
            <w:tcW w:w="0" w:type="auto"/>
            <w:vAlign w:val="center"/>
            <w:hideMark/>
          </w:tcPr>
          <w:p w14:paraId="2DBE9427" w14:textId="77777777" w:rsidR="00FE055B" w:rsidRPr="00FE055B" w:rsidRDefault="00FE055B" w:rsidP="006C209F">
            <w:pPr>
              <w:spacing w:before="0"/>
              <w:rPr>
                <w:rFonts w:cs="Times New Roman"/>
                <w:sz w:val="22"/>
              </w:rPr>
            </w:pPr>
            <w:r w:rsidRPr="00FE055B">
              <w:rPr>
                <w:rFonts w:cs="Times New Roman"/>
                <w:sz w:val="22"/>
              </w:rPr>
              <w:t>0.300</w:t>
            </w:r>
          </w:p>
        </w:tc>
        <w:tc>
          <w:tcPr>
            <w:tcW w:w="0" w:type="auto"/>
            <w:vAlign w:val="center"/>
            <w:hideMark/>
          </w:tcPr>
          <w:p w14:paraId="0346799C" w14:textId="77777777" w:rsidR="00FE055B" w:rsidRPr="00FE055B" w:rsidRDefault="00FE055B" w:rsidP="006C209F">
            <w:pPr>
              <w:spacing w:before="0"/>
              <w:rPr>
                <w:rFonts w:cs="Times New Roman"/>
                <w:sz w:val="22"/>
              </w:rPr>
            </w:pPr>
            <w:r w:rsidRPr="00FE055B">
              <w:rPr>
                <w:rFonts w:cs="Times New Roman"/>
                <w:sz w:val="22"/>
              </w:rPr>
              <w:t>1.000</w:t>
            </w:r>
          </w:p>
        </w:tc>
        <w:tc>
          <w:tcPr>
            <w:tcW w:w="0" w:type="auto"/>
            <w:vAlign w:val="center"/>
            <w:hideMark/>
          </w:tcPr>
          <w:p w14:paraId="41B3F631" w14:textId="77777777" w:rsidR="00FE055B" w:rsidRPr="00FE055B" w:rsidRDefault="00FE055B" w:rsidP="006C209F">
            <w:pPr>
              <w:spacing w:before="0"/>
              <w:rPr>
                <w:rFonts w:cs="Times New Roman"/>
                <w:sz w:val="22"/>
              </w:rPr>
            </w:pPr>
            <w:r w:rsidRPr="00FE055B">
              <w:rPr>
                <w:rFonts w:cs="Times New Roman"/>
                <w:sz w:val="22"/>
              </w:rPr>
              <w:t>0.739</w:t>
            </w:r>
          </w:p>
        </w:tc>
        <w:tc>
          <w:tcPr>
            <w:tcW w:w="0" w:type="auto"/>
            <w:vAlign w:val="center"/>
            <w:hideMark/>
          </w:tcPr>
          <w:p w14:paraId="2FF88933" w14:textId="77777777" w:rsidR="00FE055B" w:rsidRPr="00FE055B" w:rsidRDefault="00FE055B" w:rsidP="006C209F">
            <w:pPr>
              <w:spacing w:before="0"/>
              <w:rPr>
                <w:rFonts w:cs="Times New Roman"/>
                <w:sz w:val="22"/>
              </w:rPr>
            </w:pPr>
            <w:r w:rsidRPr="00FE055B">
              <w:rPr>
                <w:rFonts w:cs="Times New Roman"/>
                <w:sz w:val="22"/>
              </w:rPr>
              <w:t>0.733</w:t>
            </w:r>
          </w:p>
        </w:tc>
        <w:tc>
          <w:tcPr>
            <w:tcW w:w="0" w:type="auto"/>
            <w:vAlign w:val="center"/>
            <w:hideMark/>
          </w:tcPr>
          <w:p w14:paraId="6CB43A5F" w14:textId="77777777" w:rsidR="00FE055B" w:rsidRPr="00FE055B" w:rsidRDefault="00FE055B" w:rsidP="006C209F">
            <w:pPr>
              <w:spacing w:before="0"/>
              <w:rPr>
                <w:rFonts w:cs="Times New Roman"/>
                <w:sz w:val="22"/>
              </w:rPr>
            </w:pPr>
            <w:r w:rsidRPr="00FE055B">
              <w:rPr>
                <w:rFonts w:cs="Times New Roman"/>
                <w:sz w:val="22"/>
              </w:rPr>
              <w:t>0.731</w:t>
            </w:r>
          </w:p>
        </w:tc>
      </w:tr>
      <w:tr w:rsidR="00550023" w:rsidRPr="00A87353" w14:paraId="69123C51" w14:textId="77777777" w:rsidTr="00550023">
        <w:trPr>
          <w:tblCellSpacing w:w="15" w:type="dxa"/>
        </w:trPr>
        <w:tc>
          <w:tcPr>
            <w:tcW w:w="1799" w:type="dxa"/>
            <w:vAlign w:val="center"/>
          </w:tcPr>
          <w:p w14:paraId="584E4FD1" w14:textId="7BF56160" w:rsidR="00550023" w:rsidRPr="00A87353" w:rsidRDefault="00550023" w:rsidP="006C209F">
            <w:pPr>
              <w:spacing w:before="0"/>
              <w:rPr>
                <w:rFonts w:cs="Times New Roman"/>
                <w:sz w:val="22"/>
              </w:rPr>
            </w:pPr>
            <w:r w:rsidRPr="00A87353">
              <w:rPr>
                <w:rFonts w:cs="Times New Roman"/>
                <w:sz w:val="22"/>
              </w:rPr>
              <w:t>Overall ESG</w:t>
            </w:r>
            <w:r w:rsidR="00A87353" w:rsidRPr="00A87353">
              <w:rPr>
                <w:rFonts w:cs="Times New Roman"/>
                <w:sz w:val="22"/>
              </w:rPr>
              <w:t xml:space="preserve"> Score</w:t>
            </w:r>
          </w:p>
        </w:tc>
        <w:tc>
          <w:tcPr>
            <w:tcW w:w="815" w:type="dxa"/>
            <w:vAlign w:val="center"/>
          </w:tcPr>
          <w:p w14:paraId="4F58EE0D" w14:textId="74695EEB" w:rsidR="00550023" w:rsidRPr="00A87353" w:rsidRDefault="00550023" w:rsidP="006C209F">
            <w:pPr>
              <w:spacing w:before="0"/>
              <w:rPr>
                <w:rFonts w:cs="Times New Roman"/>
                <w:sz w:val="22"/>
              </w:rPr>
            </w:pPr>
            <w:r w:rsidRPr="00A87353">
              <w:rPr>
                <w:rFonts w:cs="Times New Roman"/>
                <w:sz w:val="22"/>
              </w:rPr>
              <w:t>166</w:t>
            </w:r>
          </w:p>
        </w:tc>
        <w:tc>
          <w:tcPr>
            <w:tcW w:w="0" w:type="auto"/>
            <w:vAlign w:val="center"/>
          </w:tcPr>
          <w:p w14:paraId="21B13C7F" w14:textId="7AD34514" w:rsidR="00550023" w:rsidRPr="00A87353" w:rsidRDefault="00550023" w:rsidP="006C209F">
            <w:pPr>
              <w:spacing w:before="0"/>
              <w:rPr>
                <w:rFonts w:cs="Times New Roman"/>
                <w:sz w:val="22"/>
              </w:rPr>
            </w:pPr>
            <w:r w:rsidRPr="00A87353">
              <w:rPr>
                <w:rFonts w:cs="Times New Roman"/>
                <w:sz w:val="22"/>
              </w:rPr>
              <w:t>0.642</w:t>
            </w:r>
          </w:p>
        </w:tc>
        <w:tc>
          <w:tcPr>
            <w:tcW w:w="0" w:type="auto"/>
            <w:vAlign w:val="center"/>
          </w:tcPr>
          <w:p w14:paraId="276A8A76" w14:textId="5D27873E" w:rsidR="00550023" w:rsidRPr="00A87353" w:rsidRDefault="00550023" w:rsidP="006C209F">
            <w:pPr>
              <w:spacing w:before="0"/>
              <w:rPr>
                <w:rFonts w:cs="Times New Roman"/>
                <w:sz w:val="22"/>
              </w:rPr>
            </w:pPr>
            <w:r w:rsidRPr="00A87353">
              <w:rPr>
                <w:rFonts w:cs="Times New Roman"/>
                <w:sz w:val="22"/>
              </w:rPr>
              <w:t>0.26</w:t>
            </w:r>
          </w:p>
        </w:tc>
        <w:tc>
          <w:tcPr>
            <w:tcW w:w="0" w:type="auto"/>
            <w:vAlign w:val="center"/>
          </w:tcPr>
          <w:p w14:paraId="3D4E9ECB" w14:textId="73244573" w:rsidR="00550023" w:rsidRPr="00A87353" w:rsidRDefault="00550023" w:rsidP="006C209F">
            <w:pPr>
              <w:spacing w:before="0"/>
              <w:rPr>
                <w:rFonts w:cs="Times New Roman"/>
                <w:sz w:val="22"/>
              </w:rPr>
            </w:pPr>
            <w:r w:rsidRPr="00A87353">
              <w:rPr>
                <w:rFonts w:cs="Times New Roman"/>
                <w:sz w:val="22"/>
              </w:rPr>
              <w:t>0.000</w:t>
            </w:r>
          </w:p>
        </w:tc>
        <w:tc>
          <w:tcPr>
            <w:tcW w:w="0" w:type="auto"/>
            <w:vAlign w:val="center"/>
          </w:tcPr>
          <w:p w14:paraId="0C2EA7FE" w14:textId="707488DC" w:rsidR="00550023" w:rsidRPr="00A87353" w:rsidRDefault="00550023" w:rsidP="006C209F">
            <w:pPr>
              <w:spacing w:before="0"/>
              <w:rPr>
                <w:rFonts w:cs="Times New Roman"/>
                <w:sz w:val="22"/>
              </w:rPr>
            </w:pPr>
            <w:r w:rsidRPr="00A87353">
              <w:rPr>
                <w:rFonts w:cs="Times New Roman"/>
                <w:sz w:val="22"/>
              </w:rPr>
              <w:t>1.00</w:t>
            </w:r>
          </w:p>
        </w:tc>
        <w:tc>
          <w:tcPr>
            <w:tcW w:w="0" w:type="auto"/>
            <w:vAlign w:val="center"/>
          </w:tcPr>
          <w:p w14:paraId="74EF715E" w14:textId="197CCE28" w:rsidR="00550023" w:rsidRPr="00A87353" w:rsidRDefault="00550023" w:rsidP="006C209F">
            <w:pPr>
              <w:spacing w:before="0"/>
              <w:rPr>
                <w:rFonts w:cs="Times New Roman"/>
                <w:sz w:val="22"/>
              </w:rPr>
            </w:pPr>
            <w:r w:rsidRPr="00A87353">
              <w:rPr>
                <w:rFonts w:cs="Times New Roman"/>
                <w:sz w:val="22"/>
              </w:rPr>
              <w:t>0.629</w:t>
            </w:r>
          </w:p>
        </w:tc>
        <w:tc>
          <w:tcPr>
            <w:tcW w:w="0" w:type="auto"/>
            <w:vAlign w:val="center"/>
          </w:tcPr>
          <w:p w14:paraId="20DD28E6" w14:textId="25723799" w:rsidR="00550023" w:rsidRPr="00A87353" w:rsidRDefault="00550023" w:rsidP="006C209F">
            <w:pPr>
              <w:spacing w:before="0"/>
              <w:rPr>
                <w:rFonts w:cs="Times New Roman"/>
                <w:sz w:val="22"/>
              </w:rPr>
            </w:pPr>
            <w:r w:rsidRPr="00A87353">
              <w:rPr>
                <w:rFonts w:cs="Times New Roman"/>
                <w:sz w:val="22"/>
              </w:rPr>
              <w:t>0.641</w:t>
            </w:r>
          </w:p>
        </w:tc>
        <w:tc>
          <w:tcPr>
            <w:tcW w:w="0" w:type="auto"/>
            <w:vAlign w:val="center"/>
          </w:tcPr>
          <w:p w14:paraId="5F76BBDF" w14:textId="17DB162F" w:rsidR="00550023" w:rsidRPr="00A87353" w:rsidRDefault="00550023" w:rsidP="006C209F">
            <w:pPr>
              <w:spacing w:before="0"/>
              <w:rPr>
                <w:rFonts w:cs="Times New Roman"/>
                <w:sz w:val="22"/>
              </w:rPr>
            </w:pPr>
            <w:r w:rsidRPr="00A87353">
              <w:rPr>
                <w:rFonts w:cs="Times New Roman"/>
                <w:sz w:val="22"/>
              </w:rPr>
              <w:t>0.656</w:t>
            </w:r>
          </w:p>
        </w:tc>
      </w:tr>
      <w:tr w:rsidR="00FE055B" w:rsidRPr="00FE055B" w14:paraId="5D8A24E4" w14:textId="77777777" w:rsidTr="00550023">
        <w:trPr>
          <w:tblCellSpacing w:w="15" w:type="dxa"/>
        </w:trPr>
        <w:tc>
          <w:tcPr>
            <w:tcW w:w="1799" w:type="dxa"/>
            <w:tcBorders>
              <w:bottom w:val="single" w:sz="4" w:space="0" w:color="auto"/>
            </w:tcBorders>
            <w:vAlign w:val="center"/>
            <w:hideMark/>
          </w:tcPr>
          <w:p w14:paraId="2D3A34F3" w14:textId="77777777" w:rsidR="00FE055B" w:rsidRPr="00FE055B" w:rsidRDefault="00FE055B" w:rsidP="006C209F">
            <w:pPr>
              <w:spacing w:before="0"/>
              <w:rPr>
                <w:rFonts w:cs="Times New Roman"/>
                <w:sz w:val="22"/>
              </w:rPr>
            </w:pPr>
            <w:r w:rsidRPr="00FE055B">
              <w:rPr>
                <w:rFonts w:cs="Times New Roman"/>
                <w:sz w:val="22"/>
              </w:rPr>
              <w:t>Market Capitalization (KES)</w:t>
            </w:r>
          </w:p>
        </w:tc>
        <w:tc>
          <w:tcPr>
            <w:tcW w:w="815" w:type="dxa"/>
            <w:tcBorders>
              <w:bottom w:val="single" w:sz="4" w:space="0" w:color="auto"/>
            </w:tcBorders>
            <w:vAlign w:val="center"/>
            <w:hideMark/>
          </w:tcPr>
          <w:p w14:paraId="2D0E23D9" w14:textId="77777777" w:rsidR="00FE055B" w:rsidRPr="00FE055B" w:rsidRDefault="00FE055B" w:rsidP="006C209F">
            <w:pPr>
              <w:spacing w:before="0"/>
              <w:rPr>
                <w:rFonts w:cs="Times New Roman"/>
                <w:sz w:val="22"/>
              </w:rPr>
            </w:pPr>
            <w:r w:rsidRPr="00FE055B">
              <w:rPr>
                <w:rFonts w:cs="Times New Roman"/>
                <w:sz w:val="22"/>
              </w:rPr>
              <w:t>166</w:t>
            </w:r>
          </w:p>
        </w:tc>
        <w:tc>
          <w:tcPr>
            <w:tcW w:w="0" w:type="auto"/>
            <w:tcBorders>
              <w:bottom w:val="single" w:sz="4" w:space="0" w:color="auto"/>
            </w:tcBorders>
            <w:vAlign w:val="center"/>
            <w:hideMark/>
          </w:tcPr>
          <w:p w14:paraId="1281FFF2" w14:textId="77777777" w:rsidR="00FE055B" w:rsidRPr="00FE055B" w:rsidRDefault="00FE055B" w:rsidP="006C209F">
            <w:pPr>
              <w:spacing w:before="0"/>
              <w:rPr>
                <w:rFonts w:cs="Times New Roman"/>
                <w:sz w:val="22"/>
              </w:rPr>
            </w:pPr>
            <w:r w:rsidRPr="00FE055B">
              <w:rPr>
                <w:rFonts w:cs="Times New Roman"/>
                <w:sz w:val="22"/>
              </w:rPr>
              <w:t>3.17 × 10¹⁰</w:t>
            </w:r>
          </w:p>
        </w:tc>
        <w:tc>
          <w:tcPr>
            <w:tcW w:w="0" w:type="auto"/>
            <w:tcBorders>
              <w:bottom w:val="single" w:sz="4" w:space="0" w:color="auto"/>
            </w:tcBorders>
            <w:vAlign w:val="center"/>
            <w:hideMark/>
          </w:tcPr>
          <w:p w14:paraId="20449EAA" w14:textId="77777777" w:rsidR="00FE055B" w:rsidRPr="00FE055B" w:rsidRDefault="00FE055B" w:rsidP="006C209F">
            <w:pPr>
              <w:spacing w:before="0"/>
              <w:rPr>
                <w:rFonts w:cs="Times New Roman"/>
                <w:sz w:val="22"/>
              </w:rPr>
            </w:pPr>
            <w:r w:rsidRPr="00FE055B">
              <w:rPr>
                <w:rFonts w:cs="Times New Roman"/>
                <w:sz w:val="22"/>
              </w:rPr>
              <w:t>1.04 × 10¹¹</w:t>
            </w:r>
          </w:p>
        </w:tc>
        <w:tc>
          <w:tcPr>
            <w:tcW w:w="0" w:type="auto"/>
            <w:tcBorders>
              <w:bottom w:val="single" w:sz="4" w:space="0" w:color="auto"/>
            </w:tcBorders>
            <w:vAlign w:val="center"/>
            <w:hideMark/>
          </w:tcPr>
          <w:p w14:paraId="038798A2" w14:textId="77777777" w:rsidR="00FE055B" w:rsidRPr="00FE055B" w:rsidRDefault="00FE055B" w:rsidP="006C209F">
            <w:pPr>
              <w:spacing w:before="0"/>
              <w:rPr>
                <w:rFonts w:cs="Times New Roman"/>
                <w:sz w:val="22"/>
              </w:rPr>
            </w:pPr>
            <w:r w:rsidRPr="00FE055B">
              <w:rPr>
                <w:rFonts w:cs="Times New Roman"/>
                <w:sz w:val="22"/>
              </w:rPr>
              <w:t>62,040,000</w:t>
            </w:r>
          </w:p>
        </w:tc>
        <w:tc>
          <w:tcPr>
            <w:tcW w:w="0" w:type="auto"/>
            <w:tcBorders>
              <w:bottom w:val="single" w:sz="4" w:space="0" w:color="auto"/>
            </w:tcBorders>
            <w:vAlign w:val="center"/>
            <w:hideMark/>
          </w:tcPr>
          <w:p w14:paraId="03F72D29" w14:textId="77777777" w:rsidR="00FE055B" w:rsidRPr="00FE055B" w:rsidRDefault="00FE055B" w:rsidP="006C209F">
            <w:pPr>
              <w:spacing w:before="0"/>
              <w:rPr>
                <w:rFonts w:cs="Times New Roman"/>
                <w:sz w:val="22"/>
              </w:rPr>
            </w:pPr>
            <w:r w:rsidRPr="00FE055B">
              <w:rPr>
                <w:rFonts w:cs="Times New Roman"/>
                <w:sz w:val="22"/>
              </w:rPr>
              <w:t>9.68 × 10¹¹</w:t>
            </w:r>
          </w:p>
        </w:tc>
        <w:tc>
          <w:tcPr>
            <w:tcW w:w="0" w:type="auto"/>
            <w:tcBorders>
              <w:bottom w:val="single" w:sz="4" w:space="0" w:color="auto"/>
            </w:tcBorders>
            <w:vAlign w:val="center"/>
            <w:hideMark/>
          </w:tcPr>
          <w:p w14:paraId="3C8C3B1D" w14:textId="77777777" w:rsidR="00FE055B" w:rsidRPr="00FE055B" w:rsidRDefault="00FE055B" w:rsidP="006C209F">
            <w:pPr>
              <w:spacing w:before="0"/>
              <w:rPr>
                <w:rFonts w:cs="Times New Roman"/>
                <w:sz w:val="22"/>
              </w:rPr>
            </w:pPr>
            <w:r w:rsidRPr="00FE055B">
              <w:rPr>
                <w:rFonts w:cs="Times New Roman"/>
                <w:sz w:val="22"/>
              </w:rPr>
              <w:t>3.65 × 10¹⁰</w:t>
            </w:r>
          </w:p>
        </w:tc>
        <w:tc>
          <w:tcPr>
            <w:tcW w:w="0" w:type="auto"/>
            <w:tcBorders>
              <w:bottom w:val="single" w:sz="4" w:space="0" w:color="auto"/>
            </w:tcBorders>
            <w:vAlign w:val="center"/>
            <w:hideMark/>
          </w:tcPr>
          <w:p w14:paraId="6AC48A5E" w14:textId="77777777" w:rsidR="00FE055B" w:rsidRPr="00FE055B" w:rsidRDefault="00FE055B" w:rsidP="006C209F">
            <w:pPr>
              <w:spacing w:before="0"/>
              <w:rPr>
                <w:rFonts w:cs="Times New Roman"/>
                <w:sz w:val="22"/>
              </w:rPr>
            </w:pPr>
            <w:r w:rsidRPr="00FE055B">
              <w:rPr>
                <w:rFonts w:cs="Times New Roman"/>
                <w:sz w:val="22"/>
              </w:rPr>
              <w:t>2.61 × 10¹⁰</w:t>
            </w:r>
          </w:p>
        </w:tc>
        <w:tc>
          <w:tcPr>
            <w:tcW w:w="0" w:type="auto"/>
            <w:tcBorders>
              <w:bottom w:val="single" w:sz="4" w:space="0" w:color="auto"/>
            </w:tcBorders>
            <w:vAlign w:val="center"/>
            <w:hideMark/>
          </w:tcPr>
          <w:p w14:paraId="10FD3941" w14:textId="77777777" w:rsidR="00FE055B" w:rsidRPr="00FE055B" w:rsidRDefault="00FE055B" w:rsidP="006C209F">
            <w:pPr>
              <w:spacing w:before="0"/>
              <w:rPr>
                <w:rFonts w:cs="Times New Roman"/>
                <w:sz w:val="22"/>
              </w:rPr>
            </w:pPr>
            <w:r w:rsidRPr="00FE055B">
              <w:rPr>
                <w:rFonts w:cs="Times New Roman"/>
                <w:sz w:val="22"/>
              </w:rPr>
              <w:t>3.25 × 10¹⁰</w:t>
            </w:r>
          </w:p>
        </w:tc>
      </w:tr>
    </w:tbl>
    <w:p w14:paraId="3CF6D3D3" w14:textId="47F4932A" w:rsidR="009566FC" w:rsidRDefault="009566FC" w:rsidP="009566FC">
      <w:r>
        <w:t>The mean score of social disclosure index is 0.651 and this indicates that on average, firms tend to disclose more information related to the social issues than the environmental issues.</w:t>
      </w:r>
      <w:r w:rsidR="00550023" w:rsidRPr="00550023">
        <w:t xml:space="preserve"> </w:t>
      </w:r>
      <w:r w:rsidR="00550023">
        <w:t xml:space="preserve">Moreover, a maximum of 1 implies that there is at least one company which has reported to practice all the social disclosure indicators. </w:t>
      </w:r>
      <w:r>
        <w:t xml:space="preserve"> It is especially clear that the positive trend persists in 2024 (0.678), as the priority on corporate social responsibility, employee welfare, and stakeholder engagement initiatives might be growing. Nonetheless, the standard deviation (0.299) is relatively high, which means that there are differences in the priorities of firms in terms of social disclosures.</w:t>
      </w:r>
    </w:p>
    <w:p w14:paraId="444B2D89" w14:textId="15D5970A" w:rsidR="00945371" w:rsidRPr="00945371" w:rsidRDefault="009566FC" w:rsidP="009566FC">
      <w:r>
        <w:t>The highest mean score (0.734) of the ESG dimensions lies in governance meaning that the practices of governance (board structures, audit committees, regulatory compliance, etc.) are more disseminated by listed companies. As compared to environmental dimension and social dimension, it can be seen that governance disclosure is comparatively consistent over the three years with a slight change between 0.739 in 2022 and 0.731 in 2024. This stability can be associated with regulatory imperative and codes of corporate governance that forces the firms to record a steady governance transparency.</w:t>
      </w:r>
    </w:p>
    <w:p w14:paraId="3A70C9EA" w14:textId="14AB6FF3" w:rsidR="00FB7CF7" w:rsidRDefault="00A87353" w:rsidP="00A87353">
      <w:r>
        <w:t xml:space="preserve">The descriptive statistics of the ESG indicators provide the level and trend of sustainability disclosure of the sampled firms in the period (2022-2024) of the study. The mean of the environmental, social, and governance index (ESG) which was ultimately averaged to obtain the overall score is 0.642 having a standard deviation of 0.26. This implies that firms reported </w:t>
      </w:r>
      <w:r>
        <w:lastRenderedPageBreak/>
        <w:t>an average of 64.2 percent of the ESG indicators that were used in the research. The standard deviation is relatively moderate and this shows that although there are differences in ESG disclosure practices across firms, the difference is not too wide. The lowest and highest ESG score of 0.000 and 1.000 respectively signify the entire spectrum of disclosure in the dataset. It means that there are some firms that do not reveal any ESG-related information, whereas others reveal all the indicators that are presented in the ESG index. This diversity indicates variation in the practice of sustainability reporting and the level to which companies incorporate ESG in the corporate strategy.  Looking at the trend over the study period, the general ESG disclosure is gradually improving. The average ESG grew to 0.629 in 2022 to 0.641 in 2023 and to 0.656 in 2024. This trend increase indicates that companies are increasingly becoming better at their ESG disclosure as time passes by. This increase can be explained by the rising pressure of stakeholders, regulatory expectations, and the rise in awareness on sustainability as a key determinant in the performance of firms and investor confidence.</w:t>
      </w:r>
    </w:p>
    <w:p w14:paraId="660FA8ED" w14:textId="5515497F" w:rsidR="00A87353" w:rsidRDefault="00A87353" w:rsidP="00A87353">
      <w:r w:rsidRPr="00A87353">
        <w:t xml:space="preserve">The market capitalization exhibits a high variation with mean capitalization of about KES 31.7 billion and maximum of KES 967.6 billion showing that there are large firms in the sample. The large variance in the standard deviation (KES 103.6 billion) again affirms that there is quite a range of market capitalization of listed companies. The market capitalization fell down to KES 26.1 billion in 2023 and then increased to KES 32.5 billion in 2024 over the three-year span, which was previously KES 36.5 billion in 2022. This variation could have been attributed to </w:t>
      </w:r>
      <w:r w:rsidR="00655141">
        <w:t>various factors including ESG disclosures</w:t>
      </w:r>
      <w:r w:rsidRPr="00A87353">
        <w:t xml:space="preserve"> which occurred within the study period.</w:t>
      </w:r>
    </w:p>
    <w:p w14:paraId="2C2A3D9B" w14:textId="732A16CA" w:rsidR="00655141" w:rsidRDefault="00655141" w:rsidP="00AD35D5">
      <w:pPr>
        <w:pStyle w:val="Heading2"/>
      </w:pPr>
      <w:bookmarkStart w:id="37" w:name="_Toc224408908"/>
      <w:r>
        <w:t xml:space="preserve">4.2 </w:t>
      </w:r>
      <w:r w:rsidR="00AD35D5">
        <w:t>Diagnostic Analysis</w:t>
      </w:r>
      <w:bookmarkEnd w:id="37"/>
    </w:p>
    <w:p w14:paraId="53B3C5AB" w14:textId="3553A32A" w:rsidR="00AD35D5" w:rsidRDefault="00AD35D5" w:rsidP="00AD35D5">
      <w:r>
        <w:t xml:space="preserve">Before running inferential analysis, diagnostic statistical analysis was conducted. The tests included </w:t>
      </w:r>
      <w:r w:rsidR="00676B4C">
        <w:t>normality tests, multicollinearity test, heteroskedasticity test, autocorrelation test</w:t>
      </w:r>
      <w:r w:rsidR="0015372E">
        <w:t>, stationarity tests</w:t>
      </w:r>
      <w:r w:rsidR="00676B4C">
        <w:t xml:space="preserve"> and model specification tests. </w:t>
      </w:r>
    </w:p>
    <w:p w14:paraId="5F1D4FB5" w14:textId="31A15E44" w:rsidR="00980713" w:rsidRDefault="00980713" w:rsidP="00980713">
      <w:pPr>
        <w:pStyle w:val="Heading3"/>
      </w:pPr>
      <w:bookmarkStart w:id="38" w:name="_Toc224408909"/>
      <w:r>
        <w:t>4.2.1 Normality Test</w:t>
      </w:r>
      <w:bookmarkEnd w:id="38"/>
    </w:p>
    <w:p w14:paraId="6CAECB01" w14:textId="77777777" w:rsidR="00980713" w:rsidRDefault="00980713" w:rsidP="00980713">
      <w:r w:rsidRPr="00980713">
        <w:t>The normality test was conducted to determine whether the data followed a normal distribution. Testing for normality is important because many statistical techniques assume that the variables or the residuals of the regression model are normally distributed. A violation of this assumption may affect the validity of statistical inferences.</w:t>
      </w:r>
      <w:r>
        <w:t xml:space="preserve"> In this study, Jarque Bera test was conducted and the results are as shown in Table 4.2.</w:t>
      </w:r>
    </w:p>
    <w:p w14:paraId="17BE00D6" w14:textId="77777777" w:rsidR="00980713" w:rsidRDefault="00980713" w:rsidP="00980713">
      <w:pPr>
        <w:pStyle w:val="Heading4"/>
      </w:pPr>
      <w:bookmarkStart w:id="39" w:name="_Toc224408794"/>
      <w:r>
        <w:lastRenderedPageBreak/>
        <w:t>Table 4.2 Jarque Bera Test Results</w:t>
      </w:r>
      <w:bookmarkEnd w:id="39"/>
    </w:p>
    <w:tbl>
      <w:tblPr>
        <w:tblStyle w:val="TableGrid"/>
        <w:tblW w:w="0" w:type="auto"/>
        <w:tblLook w:val="04A0" w:firstRow="1" w:lastRow="0" w:firstColumn="1" w:lastColumn="0" w:noHBand="0" w:noVBand="1"/>
      </w:tblPr>
      <w:tblGrid>
        <w:gridCol w:w="1150"/>
        <w:gridCol w:w="2436"/>
        <w:gridCol w:w="990"/>
        <w:gridCol w:w="2223"/>
      </w:tblGrid>
      <w:tr w:rsidR="003418D0" w:rsidRPr="003418D0" w14:paraId="1136D77A" w14:textId="77777777" w:rsidTr="003418D0">
        <w:tc>
          <w:tcPr>
            <w:tcW w:w="0" w:type="auto"/>
            <w:hideMark/>
          </w:tcPr>
          <w:p w14:paraId="4EE48978" w14:textId="77777777" w:rsidR="003418D0" w:rsidRPr="003418D0" w:rsidRDefault="003418D0" w:rsidP="003418D0">
            <w:pPr>
              <w:rPr>
                <w:b/>
                <w:bCs/>
              </w:rPr>
            </w:pPr>
            <w:r w:rsidRPr="003418D0">
              <w:rPr>
                <w:b/>
                <w:bCs/>
              </w:rPr>
              <w:t>Variable</w:t>
            </w:r>
          </w:p>
        </w:tc>
        <w:tc>
          <w:tcPr>
            <w:tcW w:w="0" w:type="auto"/>
            <w:hideMark/>
          </w:tcPr>
          <w:p w14:paraId="307AA61F" w14:textId="77777777" w:rsidR="003418D0" w:rsidRPr="003418D0" w:rsidRDefault="003418D0" w:rsidP="003418D0">
            <w:pPr>
              <w:rPr>
                <w:b/>
                <w:bCs/>
              </w:rPr>
            </w:pPr>
            <w:r w:rsidRPr="003418D0">
              <w:rPr>
                <w:b/>
                <w:bCs/>
              </w:rPr>
              <w:t>Jarque–Bera Statistic</w:t>
            </w:r>
          </w:p>
        </w:tc>
        <w:tc>
          <w:tcPr>
            <w:tcW w:w="0" w:type="auto"/>
            <w:hideMark/>
          </w:tcPr>
          <w:p w14:paraId="6C43D1D2" w14:textId="77777777" w:rsidR="003418D0" w:rsidRPr="003418D0" w:rsidRDefault="003418D0" w:rsidP="003418D0">
            <w:pPr>
              <w:rPr>
                <w:b/>
                <w:bCs/>
              </w:rPr>
            </w:pPr>
            <w:r w:rsidRPr="003418D0">
              <w:rPr>
                <w:b/>
                <w:bCs/>
              </w:rPr>
              <w:t>P-value</w:t>
            </w:r>
          </w:p>
        </w:tc>
        <w:tc>
          <w:tcPr>
            <w:tcW w:w="0" w:type="auto"/>
            <w:hideMark/>
          </w:tcPr>
          <w:p w14:paraId="00D547F9" w14:textId="77777777" w:rsidR="003418D0" w:rsidRPr="003418D0" w:rsidRDefault="003418D0" w:rsidP="003418D0">
            <w:pPr>
              <w:rPr>
                <w:b/>
                <w:bCs/>
              </w:rPr>
            </w:pPr>
            <w:r w:rsidRPr="003418D0">
              <w:rPr>
                <w:b/>
                <w:bCs/>
              </w:rPr>
              <w:t>Decision</w:t>
            </w:r>
          </w:p>
        </w:tc>
      </w:tr>
      <w:tr w:rsidR="003418D0" w:rsidRPr="003418D0" w14:paraId="7FBB6D6E" w14:textId="77777777" w:rsidTr="003418D0">
        <w:tc>
          <w:tcPr>
            <w:tcW w:w="0" w:type="auto"/>
            <w:hideMark/>
          </w:tcPr>
          <w:p w14:paraId="7FF529C0" w14:textId="77777777" w:rsidR="003418D0" w:rsidRPr="003418D0" w:rsidRDefault="003418D0" w:rsidP="003418D0">
            <w:r w:rsidRPr="003418D0">
              <w:t>Residuals</w:t>
            </w:r>
          </w:p>
        </w:tc>
        <w:tc>
          <w:tcPr>
            <w:tcW w:w="0" w:type="auto"/>
            <w:hideMark/>
          </w:tcPr>
          <w:p w14:paraId="7B4FAC8F" w14:textId="77777777" w:rsidR="003418D0" w:rsidRPr="003418D0" w:rsidRDefault="003418D0" w:rsidP="003418D0">
            <w:r w:rsidRPr="003418D0">
              <w:t>2.81</w:t>
            </w:r>
          </w:p>
        </w:tc>
        <w:tc>
          <w:tcPr>
            <w:tcW w:w="0" w:type="auto"/>
            <w:hideMark/>
          </w:tcPr>
          <w:p w14:paraId="3A9BF1A5" w14:textId="77777777" w:rsidR="003418D0" w:rsidRPr="003418D0" w:rsidRDefault="003418D0" w:rsidP="003418D0">
            <w:r w:rsidRPr="003418D0">
              <w:t>0.2451</w:t>
            </w:r>
          </w:p>
        </w:tc>
        <w:tc>
          <w:tcPr>
            <w:tcW w:w="0" w:type="auto"/>
            <w:hideMark/>
          </w:tcPr>
          <w:p w14:paraId="0B921EFC" w14:textId="77777777" w:rsidR="003418D0" w:rsidRPr="003418D0" w:rsidRDefault="003418D0" w:rsidP="003418D0">
            <w:r w:rsidRPr="003418D0">
              <w:t>Normally distributed</w:t>
            </w:r>
          </w:p>
        </w:tc>
      </w:tr>
    </w:tbl>
    <w:p w14:paraId="019F6255" w14:textId="04891032" w:rsidR="00980713" w:rsidRDefault="007418C9" w:rsidP="003418D0">
      <w:r w:rsidRPr="007418C9">
        <w:rPr>
          <w:noProof/>
        </w:rPr>
        <w:drawing>
          <wp:inline distT="0" distB="0" distL="0" distR="0" wp14:anchorId="1C29229D" wp14:editId="63B3D1EB">
            <wp:extent cx="5731510" cy="1210945"/>
            <wp:effectExtent l="0" t="0" r="2540" b="8255"/>
            <wp:docPr id="964533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533009" name=""/>
                    <pic:cNvPicPr/>
                  </pic:nvPicPr>
                  <pic:blipFill>
                    <a:blip r:embed="rId13"/>
                    <a:stretch>
                      <a:fillRect/>
                    </a:stretch>
                  </pic:blipFill>
                  <pic:spPr>
                    <a:xfrm>
                      <a:off x="0" y="0"/>
                      <a:ext cx="5731510" cy="1210945"/>
                    </a:xfrm>
                    <a:prstGeom prst="rect">
                      <a:avLst/>
                    </a:prstGeom>
                  </pic:spPr>
                </pic:pic>
              </a:graphicData>
            </a:graphic>
          </wp:inline>
        </w:drawing>
      </w:r>
    </w:p>
    <w:p w14:paraId="1CB22E57" w14:textId="1C63EF90" w:rsidR="003418D0" w:rsidRDefault="00BF7FDB" w:rsidP="00BF7FDB">
      <w:pPr>
        <w:pStyle w:val="Heading3"/>
      </w:pPr>
      <w:bookmarkStart w:id="40" w:name="_Toc224408910"/>
      <w:r>
        <w:t>4.2.2 Heteroskedasticity Test</w:t>
      </w:r>
      <w:bookmarkEnd w:id="40"/>
    </w:p>
    <w:p w14:paraId="46BAF94D" w14:textId="29BD5E4E" w:rsidR="00BF7FDB" w:rsidRDefault="00BF7FDB" w:rsidP="00BF7FDB">
      <w:r>
        <w:t xml:space="preserve">The heteroskedasticity test was done to ascertain whether the variance of error term of the regression model is the same at each observation. Heteroskedasticity is a condition where the variance of the residuals is not stable, thus its effect can be inefficient estimates and biased standard errors, thus, impacting the value of hypothesis testing. </w:t>
      </w:r>
      <w:r w:rsidR="00B75AC4" w:rsidRPr="00B75AC4">
        <w:t xml:space="preserve">This research was based on the Breusch-Pagan / Cook-Weisberg test to check the scenario of heteroskedasticity in Stata. The null hypothesis of the test is that the variance of the error terms is constant (homoskedasticity) and the alternative hypothesis is that the variance of the error terms </w:t>
      </w:r>
      <w:r w:rsidR="002D732A" w:rsidRPr="00B75AC4">
        <w:t>is</w:t>
      </w:r>
      <w:r w:rsidR="00B75AC4" w:rsidRPr="00B75AC4">
        <w:t xml:space="preserve"> not constant (heteroskedasticity). </w:t>
      </w:r>
      <w:r w:rsidR="00B75AC4">
        <w:t xml:space="preserve"> </w:t>
      </w:r>
      <w:r w:rsidR="00452569">
        <w:t>The results are as shown in Table 4.3.</w:t>
      </w:r>
    </w:p>
    <w:p w14:paraId="765A5AFE" w14:textId="362D777B" w:rsidR="00452569" w:rsidRDefault="00452569" w:rsidP="00452569">
      <w:pPr>
        <w:pStyle w:val="Heading4"/>
      </w:pPr>
      <w:bookmarkStart w:id="41" w:name="_Toc224408795"/>
      <w:r>
        <w:t>Table 4.3 Heteroskedasticity Test</w:t>
      </w:r>
      <w:bookmarkEnd w:id="41"/>
    </w:p>
    <w:tbl>
      <w:tblPr>
        <w:tblStyle w:val="TableGrid"/>
        <w:tblW w:w="5000" w:type="pct"/>
        <w:tblLook w:val="04A0" w:firstRow="1" w:lastRow="0" w:firstColumn="1" w:lastColumn="0" w:noHBand="0" w:noVBand="1"/>
      </w:tblPr>
      <w:tblGrid>
        <w:gridCol w:w="3933"/>
        <w:gridCol w:w="3040"/>
        <w:gridCol w:w="2043"/>
      </w:tblGrid>
      <w:tr w:rsidR="00ED5819" w:rsidRPr="00ED5819" w14:paraId="4EB9B1E4" w14:textId="77777777" w:rsidTr="002D732A">
        <w:tc>
          <w:tcPr>
            <w:tcW w:w="2181" w:type="pct"/>
            <w:hideMark/>
          </w:tcPr>
          <w:p w14:paraId="01F3BAC6" w14:textId="77777777" w:rsidR="00ED5819" w:rsidRPr="00ED5819" w:rsidRDefault="00ED5819" w:rsidP="00ED5819">
            <w:pPr>
              <w:rPr>
                <w:b/>
                <w:bCs/>
              </w:rPr>
            </w:pPr>
            <w:r w:rsidRPr="00ED5819">
              <w:rPr>
                <w:b/>
                <w:bCs/>
              </w:rPr>
              <w:t>Test</w:t>
            </w:r>
          </w:p>
        </w:tc>
        <w:tc>
          <w:tcPr>
            <w:tcW w:w="1686" w:type="pct"/>
            <w:hideMark/>
          </w:tcPr>
          <w:p w14:paraId="7E50EDBB" w14:textId="77777777" w:rsidR="00ED5819" w:rsidRPr="00ED5819" w:rsidRDefault="00ED5819" w:rsidP="00ED5819">
            <w:pPr>
              <w:rPr>
                <w:b/>
                <w:bCs/>
              </w:rPr>
            </w:pPr>
            <w:r w:rsidRPr="00ED5819">
              <w:rPr>
                <w:b/>
                <w:bCs/>
              </w:rPr>
              <w:t>Chi-square</w:t>
            </w:r>
          </w:p>
        </w:tc>
        <w:tc>
          <w:tcPr>
            <w:tcW w:w="1133" w:type="pct"/>
            <w:hideMark/>
          </w:tcPr>
          <w:p w14:paraId="01BD1ACC" w14:textId="77777777" w:rsidR="00ED5819" w:rsidRPr="00ED5819" w:rsidRDefault="00ED5819" w:rsidP="00ED5819">
            <w:pPr>
              <w:rPr>
                <w:b/>
                <w:bCs/>
              </w:rPr>
            </w:pPr>
            <w:r w:rsidRPr="00ED5819">
              <w:rPr>
                <w:b/>
                <w:bCs/>
              </w:rPr>
              <w:t>p-value</w:t>
            </w:r>
          </w:p>
        </w:tc>
      </w:tr>
      <w:tr w:rsidR="00ED5819" w:rsidRPr="00ED5819" w14:paraId="334196A0" w14:textId="77777777" w:rsidTr="002D732A">
        <w:tc>
          <w:tcPr>
            <w:tcW w:w="2181" w:type="pct"/>
            <w:hideMark/>
          </w:tcPr>
          <w:p w14:paraId="44EA50FF" w14:textId="77777777" w:rsidR="00ED5819" w:rsidRPr="00ED5819" w:rsidRDefault="00ED5819" w:rsidP="00ED5819">
            <w:r w:rsidRPr="00ED5819">
              <w:t>Breusch–Pagan</w:t>
            </w:r>
          </w:p>
        </w:tc>
        <w:tc>
          <w:tcPr>
            <w:tcW w:w="1686" w:type="pct"/>
            <w:hideMark/>
          </w:tcPr>
          <w:p w14:paraId="6C3216F5" w14:textId="77777777" w:rsidR="00ED5819" w:rsidRPr="00ED5819" w:rsidRDefault="00ED5819" w:rsidP="00ED5819">
            <w:r w:rsidRPr="00ED5819">
              <w:t>0.53</w:t>
            </w:r>
          </w:p>
        </w:tc>
        <w:tc>
          <w:tcPr>
            <w:tcW w:w="1133" w:type="pct"/>
            <w:hideMark/>
          </w:tcPr>
          <w:p w14:paraId="58A7AA6A" w14:textId="77777777" w:rsidR="00ED5819" w:rsidRPr="00ED5819" w:rsidRDefault="00ED5819" w:rsidP="00ED5819">
            <w:r w:rsidRPr="00ED5819">
              <w:t>0.4650</w:t>
            </w:r>
          </w:p>
        </w:tc>
      </w:tr>
    </w:tbl>
    <w:p w14:paraId="3D752D95" w14:textId="5B483412" w:rsidR="00452569" w:rsidRDefault="007418C9" w:rsidP="00BF7FDB">
      <w:r w:rsidRPr="007418C9">
        <w:rPr>
          <w:noProof/>
        </w:rPr>
        <w:drawing>
          <wp:inline distT="0" distB="0" distL="0" distR="0" wp14:anchorId="17866F61" wp14:editId="41D674B6">
            <wp:extent cx="5731510" cy="1219835"/>
            <wp:effectExtent l="0" t="0" r="2540" b="0"/>
            <wp:docPr id="406616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16348" name=""/>
                    <pic:cNvPicPr/>
                  </pic:nvPicPr>
                  <pic:blipFill>
                    <a:blip r:embed="rId14"/>
                    <a:stretch>
                      <a:fillRect/>
                    </a:stretch>
                  </pic:blipFill>
                  <pic:spPr>
                    <a:xfrm>
                      <a:off x="0" y="0"/>
                      <a:ext cx="5731510" cy="1219835"/>
                    </a:xfrm>
                    <a:prstGeom prst="rect">
                      <a:avLst/>
                    </a:prstGeom>
                  </pic:spPr>
                </pic:pic>
              </a:graphicData>
            </a:graphic>
          </wp:inline>
        </w:drawing>
      </w:r>
    </w:p>
    <w:p w14:paraId="7053C84F" w14:textId="27F94E27" w:rsidR="00ED5819" w:rsidRPr="00BF7FDB" w:rsidRDefault="00ED5819" w:rsidP="00ED5819">
      <w:pPr>
        <w:pStyle w:val="Heading3"/>
      </w:pPr>
      <w:bookmarkStart w:id="42" w:name="_Toc224408911"/>
      <w:r>
        <w:t>4.2.3 Multicollinearity Test</w:t>
      </w:r>
      <w:bookmarkEnd w:id="42"/>
    </w:p>
    <w:p w14:paraId="641A270A" w14:textId="24237C2C" w:rsidR="00676B4C" w:rsidRDefault="00ED5819" w:rsidP="00AD35D5">
      <w:r w:rsidRPr="00ED5819">
        <w:t>Multicollinearity among the explanatory variables was assessed using the Variance Inflation Factor (VIF)</w:t>
      </w:r>
      <w:r>
        <w:t xml:space="preserve"> and the results are as shown in Table 4.4.</w:t>
      </w:r>
    </w:p>
    <w:p w14:paraId="28C69CE2" w14:textId="72126BB3" w:rsidR="00ED5819" w:rsidRDefault="00ED5819" w:rsidP="00ED5819">
      <w:pPr>
        <w:pStyle w:val="Heading4"/>
      </w:pPr>
      <w:bookmarkStart w:id="43" w:name="_Toc224408796"/>
      <w:r>
        <w:lastRenderedPageBreak/>
        <w:t>Table 4.4 Multicollinearity Tests</w:t>
      </w:r>
      <w:bookmarkEnd w:id="43"/>
    </w:p>
    <w:tbl>
      <w:tblPr>
        <w:tblStyle w:val="TableGrid"/>
        <w:tblW w:w="5000" w:type="pct"/>
        <w:tblLook w:val="04A0" w:firstRow="1" w:lastRow="0" w:firstColumn="1" w:lastColumn="0" w:noHBand="0" w:noVBand="1"/>
      </w:tblPr>
      <w:tblGrid>
        <w:gridCol w:w="3455"/>
        <w:gridCol w:w="977"/>
        <w:gridCol w:w="1253"/>
        <w:gridCol w:w="3331"/>
      </w:tblGrid>
      <w:tr w:rsidR="00ED5819" w:rsidRPr="00ED5819" w14:paraId="71CE315C" w14:textId="77777777" w:rsidTr="00ED3829">
        <w:tc>
          <w:tcPr>
            <w:tcW w:w="1916" w:type="pct"/>
            <w:hideMark/>
          </w:tcPr>
          <w:p w14:paraId="6CFD9BCD" w14:textId="77777777" w:rsidR="00ED5819" w:rsidRPr="00ED5819" w:rsidRDefault="00ED5819" w:rsidP="00ED5819">
            <w:pPr>
              <w:rPr>
                <w:b/>
                <w:bCs/>
              </w:rPr>
            </w:pPr>
            <w:r w:rsidRPr="00ED5819">
              <w:rPr>
                <w:b/>
                <w:bCs/>
              </w:rPr>
              <w:t>Variable</w:t>
            </w:r>
          </w:p>
        </w:tc>
        <w:tc>
          <w:tcPr>
            <w:tcW w:w="542" w:type="pct"/>
            <w:hideMark/>
          </w:tcPr>
          <w:p w14:paraId="584EEF19" w14:textId="77777777" w:rsidR="00ED5819" w:rsidRPr="00ED5819" w:rsidRDefault="00ED5819" w:rsidP="00ED5819">
            <w:pPr>
              <w:rPr>
                <w:b/>
                <w:bCs/>
              </w:rPr>
            </w:pPr>
            <w:r w:rsidRPr="00ED5819">
              <w:rPr>
                <w:b/>
                <w:bCs/>
              </w:rPr>
              <w:t>VIF</w:t>
            </w:r>
          </w:p>
        </w:tc>
        <w:tc>
          <w:tcPr>
            <w:tcW w:w="695" w:type="pct"/>
            <w:hideMark/>
          </w:tcPr>
          <w:p w14:paraId="67377403" w14:textId="77777777" w:rsidR="00ED5819" w:rsidRPr="00ED5819" w:rsidRDefault="00ED5819" w:rsidP="00ED5819">
            <w:pPr>
              <w:rPr>
                <w:b/>
                <w:bCs/>
              </w:rPr>
            </w:pPr>
            <w:r w:rsidRPr="00ED5819">
              <w:rPr>
                <w:b/>
                <w:bCs/>
              </w:rPr>
              <w:t>1/VIF</w:t>
            </w:r>
          </w:p>
        </w:tc>
        <w:tc>
          <w:tcPr>
            <w:tcW w:w="1847" w:type="pct"/>
            <w:hideMark/>
          </w:tcPr>
          <w:p w14:paraId="556A8070" w14:textId="77777777" w:rsidR="00ED5819" w:rsidRPr="00ED5819" w:rsidRDefault="00ED5819" w:rsidP="00ED5819">
            <w:pPr>
              <w:rPr>
                <w:b/>
                <w:bCs/>
              </w:rPr>
            </w:pPr>
            <w:r w:rsidRPr="00ED5819">
              <w:rPr>
                <w:b/>
                <w:bCs/>
              </w:rPr>
              <w:t>Interpretation</w:t>
            </w:r>
          </w:p>
        </w:tc>
      </w:tr>
      <w:tr w:rsidR="00ED5819" w:rsidRPr="00ED5819" w14:paraId="5866CF89" w14:textId="77777777" w:rsidTr="00ED3829">
        <w:tc>
          <w:tcPr>
            <w:tcW w:w="1916" w:type="pct"/>
            <w:hideMark/>
          </w:tcPr>
          <w:p w14:paraId="0E488D1D" w14:textId="77777777" w:rsidR="00ED5819" w:rsidRPr="00ED5819" w:rsidRDefault="00ED5819" w:rsidP="00ED5819">
            <w:r w:rsidRPr="00ED5819">
              <w:t>Governance Index</w:t>
            </w:r>
          </w:p>
        </w:tc>
        <w:tc>
          <w:tcPr>
            <w:tcW w:w="542" w:type="pct"/>
            <w:hideMark/>
          </w:tcPr>
          <w:p w14:paraId="105A3A39" w14:textId="77777777" w:rsidR="00ED5819" w:rsidRPr="00ED5819" w:rsidRDefault="00ED5819" w:rsidP="00ED5819">
            <w:r w:rsidRPr="00ED5819">
              <w:t>1.41</w:t>
            </w:r>
          </w:p>
        </w:tc>
        <w:tc>
          <w:tcPr>
            <w:tcW w:w="695" w:type="pct"/>
            <w:hideMark/>
          </w:tcPr>
          <w:p w14:paraId="70786862" w14:textId="77777777" w:rsidR="00ED5819" w:rsidRPr="00ED5819" w:rsidRDefault="00ED5819" w:rsidP="00ED5819">
            <w:r w:rsidRPr="00ED5819">
              <w:t>0.709</w:t>
            </w:r>
          </w:p>
        </w:tc>
        <w:tc>
          <w:tcPr>
            <w:tcW w:w="1847" w:type="pct"/>
            <w:hideMark/>
          </w:tcPr>
          <w:p w14:paraId="564962F9" w14:textId="77777777" w:rsidR="00ED5819" w:rsidRPr="00ED5819" w:rsidRDefault="00ED5819" w:rsidP="00ED5819">
            <w:r w:rsidRPr="00ED5819">
              <w:t>No multicollinearity</w:t>
            </w:r>
          </w:p>
        </w:tc>
      </w:tr>
      <w:tr w:rsidR="00ED5819" w:rsidRPr="00ED5819" w14:paraId="3E811D39" w14:textId="77777777" w:rsidTr="00ED3829">
        <w:tc>
          <w:tcPr>
            <w:tcW w:w="1916" w:type="pct"/>
            <w:hideMark/>
          </w:tcPr>
          <w:p w14:paraId="7B3495E1" w14:textId="77777777" w:rsidR="00ED5819" w:rsidRPr="00ED5819" w:rsidRDefault="00ED5819" w:rsidP="00ED5819">
            <w:r w:rsidRPr="00ED5819">
              <w:t>Social Index Score</w:t>
            </w:r>
          </w:p>
        </w:tc>
        <w:tc>
          <w:tcPr>
            <w:tcW w:w="542" w:type="pct"/>
            <w:hideMark/>
          </w:tcPr>
          <w:p w14:paraId="2B66D426" w14:textId="77777777" w:rsidR="00ED5819" w:rsidRPr="00ED5819" w:rsidRDefault="00ED5819" w:rsidP="00ED5819">
            <w:r w:rsidRPr="00ED5819">
              <w:t>1.38</w:t>
            </w:r>
          </w:p>
        </w:tc>
        <w:tc>
          <w:tcPr>
            <w:tcW w:w="695" w:type="pct"/>
            <w:hideMark/>
          </w:tcPr>
          <w:p w14:paraId="22E56F94" w14:textId="77777777" w:rsidR="00ED5819" w:rsidRPr="00ED5819" w:rsidRDefault="00ED5819" w:rsidP="00ED5819">
            <w:r w:rsidRPr="00ED5819">
              <w:t>0.726</w:t>
            </w:r>
          </w:p>
        </w:tc>
        <w:tc>
          <w:tcPr>
            <w:tcW w:w="1847" w:type="pct"/>
            <w:hideMark/>
          </w:tcPr>
          <w:p w14:paraId="56F635F7" w14:textId="77777777" w:rsidR="00ED5819" w:rsidRPr="00ED5819" w:rsidRDefault="00ED5819" w:rsidP="00ED5819">
            <w:r w:rsidRPr="00ED5819">
              <w:t>No multicollinearity</w:t>
            </w:r>
          </w:p>
        </w:tc>
      </w:tr>
      <w:tr w:rsidR="00ED5819" w:rsidRPr="00ED5819" w14:paraId="3DAA2FBE" w14:textId="77777777" w:rsidTr="00ED3829">
        <w:tc>
          <w:tcPr>
            <w:tcW w:w="1916" w:type="pct"/>
            <w:hideMark/>
          </w:tcPr>
          <w:p w14:paraId="7A4ADB09" w14:textId="77777777" w:rsidR="00ED5819" w:rsidRPr="00ED5819" w:rsidRDefault="00ED5819" w:rsidP="00ED5819">
            <w:r w:rsidRPr="00ED5819">
              <w:t>Environmental Score</w:t>
            </w:r>
          </w:p>
        </w:tc>
        <w:tc>
          <w:tcPr>
            <w:tcW w:w="542" w:type="pct"/>
            <w:hideMark/>
          </w:tcPr>
          <w:p w14:paraId="24C1E57A" w14:textId="77777777" w:rsidR="00ED5819" w:rsidRPr="00ED5819" w:rsidRDefault="00ED5819" w:rsidP="00ED5819">
            <w:r w:rsidRPr="00ED5819">
              <w:t>1.33</w:t>
            </w:r>
          </w:p>
        </w:tc>
        <w:tc>
          <w:tcPr>
            <w:tcW w:w="695" w:type="pct"/>
            <w:hideMark/>
          </w:tcPr>
          <w:p w14:paraId="3D8D40E1" w14:textId="77777777" w:rsidR="00ED5819" w:rsidRPr="00ED5819" w:rsidRDefault="00ED5819" w:rsidP="00ED5819">
            <w:r w:rsidRPr="00ED5819">
              <w:t>0.751</w:t>
            </w:r>
          </w:p>
        </w:tc>
        <w:tc>
          <w:tcPr>
            <w:tcW w:w="1847" w:type="pct"/>
            <w:hideMark/>
          </w:tcPr>
          <w:p w14:paraId="6EFEBD1F" w14:textId="77777777" w:rsidR="00ED5819" w:rsidRPr="00ED5819" w:rsidRDefault="00ED5819" w:rsidP="00ED5819">
            <w:r w:rsidRPr="00ED5819">
              <w:t>No multicollinearity</w:t>
            </w:r>
          </w:p>
        </w:tc>
      </w:tr>
      <w:tr w:rsidR="00ED5819" w:rsidRPr="00ED5819" w14:paraId="2461AD0E" w14:textId="77777777" w:rsidTr="00ED3829">
        <w:tc>
          <w:tcPr>
            <w:tcW w:w="1916" w:type="pct"/>
            <w:hideMark/>
          </w:tcPr>
          <w:p w14:paraId="44F67200" w14:textId="77777777" w:rsidR="00ED5819" w:rsidRPr="00ED5819" w:rsidRDefault="00ED5819" w:rsidP="00ED5819">
            <w:r w:rsidRPr="00ED5819">
              <w:rPr>
                <w:b/>
                <w:bCs/>
              </w:rPr>
              <w:t>Mean VIF</w:t>
            </w:r>
          </w:p>
        </w:tc>
        <w:tc>
          <w:tcPr>
            <w:tcW w:w="542" w:type="pct"/>
            <w:hideMark/>
          </w:tcPr>
          <w:p w14:paraId="3D804C02" w14:textId="77777777" w:rsidR="00ED5819" w:rsidRPr="00ED5819" w:rsidRDefault="00ED5819" w:rsidP="00ED5819">
            <w:r w:rsidRPr="00ED5819">
              <w:t>1.37</w:t>
            </w:r>
          </w:p>
        </w:tc>
        <w:tc>
          <w:tcPr>
            <w:tcW w:w="695" w:type="pct"/>
            <w:hideMark/>
          </w:tcPr>
          <w:p w14:paraId="7DF0B2AD" w14:textId="77777777" w:rsidR="00ED5819" w:rsidRPr="00ED5819" w:rsidRDefault="00ED5819" w:rsidP="00ED5819">
            <w:r w:rsidRPr="00ED5819">
              <w:t>—</w:t>
            </w:r>
          </w:p>
        </w:tc>
        <w:tc>
          <w:tcPr>
            <w:tcW w:w="1847" w:type="pct"/>
            <w:hideMark/>
          </w:tcPr>
          <w:p w14:paraId="1603A1C5" w14:textId="77777777" w:rsidR="00ED5819" w:rsidRPr="00ED5819" w:rsidRDefault="00ED5819" w:rsidP="00ED5819">
            <w:r w:rsidRPr="00ED5819">
              <w:t>—</w:t>
            </w:r>
          </w:p>
        </w:tc>
      </w:tr>
    </w:tbl>
    <w:p w14:paraId="6342CF12" w14:textId="00218620" w:rsidR="00ED5819" w:rsidRDefault="00ED3829" w:rsidP="00ED5819">
      <w:r w:rsidRPr="00ED3829">
        <w:t>Table 4.4 indicates that the findings indicate that VIF of Governance Index, Social Index Score and Environmental Score are 1.41, 1.38 and 1.33 respectively, and the average VIF is 1.37. Because all the values of VIF are lower than the critical figure of 5, the independent variables do not show any serious cases of multicollinearity, which is why the estimates obtained through the regression model can be considered valid</w:t>
      </w:r>
      <w:r w:rsidR="00ED5819" w:rsidRPr="00ED5819">
        <w:t>.</w:t>
      </w:r>
    </w:p>
    <w:p w14:paraId="5A111BBA" w14:textId="1B5723A9" w:rsidR="00ED5819" w:rsidRPr="00ED5819" w:rsidRDefault="009F07EF" w:rsidP="009F07EF">
      <w:pPr>
        <w:pStyle w:val="Heading3"/>
      </w:pPr>
      <w:bookmarkStart w:id="44" w:name="_Toc224408912"/>
      <w:r>
        <w:t xml:space="preserve">4.2.4 Autocorrelation </w:t>
      </w:r>
      <w:r w:rsidR="002A775D">
        <w:t xml:space="preserve">and Stationarity </w:t>
      </w:r>
      <w:r>
        <w:t>Test</w:t>
      </w:r>
      <w:bookmarkEnd w:id="44"/>
    </w:p>
    <w:p w14:paraId="30F53D40" w14:textId="0CCE4177" w:rsidR="00E77921" w:rsidRDefault="009F07EF" w:rsidP="002A775D">
      <w:r w:rsidRPr="009F07EF">
        <w:t xml:space="preserve">Serial correlation or autocorrelation occurs when the observations in a regression model </w:t>
      </w:r>
      <w:proofErr w:type="spellStart"/>
      <w:r w:rsidRPr="009F07EF">
        <w:t>model</w:t>
      </w:r>
      <w:proofErr w:type="spellEnd"/>
      <w:r w:rsidRPr="009F07EF">
        <w:t xml:space="preserve"> exhibit a correlation between their residuals. This contravenes one of the classical regression assumptions and may result to inefficient estimation and statistical inferences. Detection of autocorrelation is of special interest to time series and panel data models, where observations are ordered in time.</w:t>
      </w:r>
      <w:r>
        <w:t xml:space="preserve"> </w:t>
      </w:r>
    </w:p>
    <w:p w14:paraId="63785822" w14:textId="5FB217B1" w:rsidR="0015372E" w:rsidRDefault="0015372E" w:rsidP="002A775D">
      <w:r>
        <w:t xml:space="preserve">Test of stationarity is done to identify whether the time series characteristics of the variables are constant across time. This is because a time series stationary process has a constant mean, variance, and autocorrelation structure, which is a significant assumption in time series regression analysis. The non-stationary data may also give spurious regression estimates, which makes the invalid statistical inferences. </w:t>
      </w:r>
    </w:p>
    <w:p w14:paraId="057D2D30" w14:textId="2E3B464E" w:rsidR="002A775D" w:rsidRDefault="002A775D" w:rsidP="002A775D">
      <w:r w:rsidRPr="002A775D">
        <w:t>Autocorrelation and stationarity tests could not be performed due to the short time dimension of the dataset (only 3 years: 2022, 2023, 2024). The Durbin-Watson and Breusch-Godfrey tests for autocorrelation, as well as the Augmented Dickey-Fuller test for stationarity, require longer time series for valid estimation. This limitation is acknowledged in the analysis, and the results are interpreted with caution.</w:t>
      </w:r>
    </w:p>
    <w:p w14:paraId="3C9256D5" w14:textId="0862AF86" w:rsidR="0015372E" w:rsidRDefault="002A775D" w:rsidP="0015372E">
      <w:r w:rsidRPr="002A775D">
        <w:lastRenderedPageBreak/>
        <w:t>Therefore, given the limited time aspect of the data (3 years: 2022-2024), it was impossible to use panel data regression models, including Fixed Effects or Random Effects. There could not be a reliable performance of autocorrelation and stationarity tests. The analysis has therefore been done by using pooled OLS regression whereby the observation (result) is viewed as a cross-section but the standard diagnostic tests (heteroskedasticity, multicollinearity and normality) can be done.</w:t>
      </w:r>
    </w:p>
    <w:p w14:paraId="639E450A" w14:textId="0688C45A" w:rsidR="002A775D" w:rsidRDefault="007C509C" w:rsidP="007C509C">
      <w:pPr>
        <w:pStyle w:val="Heading2"/>
      </w:pPr>
      <w:bookmarkStart w:id="45" w:name="_Toc224408913"/>
      <w:r>
        <w:t>4.3 Inferential Statistical Analysis</w:t>
      </w:r>
      <w:bookmarkEnd w:id="45"/>
    </w:p>
    <w:p w14:paraId="573709BC" w14:textId="2314034E" w:rsidR="002A775D" w:rsidRDefault="007C509C" w:rsidP="0015372E">
      <w:r>
        <w:t>The research conducted correlation and pool regression analysis to establish the relationship between ESG dimensions and firm value measured in market capitalisation. The results are presented in sections 4.3.1 and 4.3.2.</w:t>
      </w:r>
    </w:p>
    <w:p w14:paraId="203FA862" w14:textId="2C8B743E" w:rsidR="007C509C" w:rsidRDefault="007C509C" w:rsidP="007C509C">
      <w:pPr>
        <w:pStyle w:val="Heading3"/>
      </w:pPr>
      <w:bookmarkStart w:id="46" w:name="_Toc224408914"/>
      <w:r>
        <w:t>4.3.1 Correlation Analysis</w:t>
      </w:r>
      <w:bookmarkEnd w:id="46"/>
    </w:p>
    <w:p w14:paraId="1678FDA9" w14:textId="1C3F6381" w:rsidR="004338D5" w:rsidRDefault="004338D5" w:rsidP="004338D5">
      <w:r w:rsidRPr="004338D5">
        <w:t>This step helps to identify the strength and direction of associations between variables, and also serves as a preliminary check for potential multicollinearity.</w:t>
      </w:r>
      <w:r>
        <w:t xml:space="preserve"> The results are presented in Table 4.5 below. </w:t>
      </w:r>
    </w:p>
    <w:p w14:paraId="5B92EE8D" w14:textId="3F725DBB" w:rsidR="004338D5" w:rsidRDefault="004338D5" w:rsidP="004338D5">
      <w:pPr>
        <w:pStyle w:val="Heading4"/>
      </w:pPr>
      <w:bookmarkStart w:id="47" w:name="_Toc224408797"/>
      <w:r>
        <w:t>Table 4.5 Pairwise Correlation Matrix</w:t>
      </w:r>
      <w:bookmarkEnd w:id="47"/>
    </w:p>
    <w:p w14:paraId="62E40773" w14:textId="60556BC3" w:rsidR="00D22B00" w:rsidRDefault="00D22B00" w:rsidP="004338D5">
      <w:r w:rsidRPr="00D22B00">
        <w:rPr>
          <w:noProof/>
        </w:rPr>
        <w:drawing>
          <wp:inline distT="0" distB="0" distL="0" distR="0" wp14:anchorId="48140B01" wp14:editId="469C9135">
            <wp:extent cx="5731510" cy="2211070"/>
            <wp:effectExtent l="0" t="0" r="2540" b="0"/>
            <wp:docPr id="1290453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53566" name=""/>
                    <pic:cNvPicPr/>
                  </pic:nvPicPr>
                  <pic:blipFill>
                    <a:blip r:embed="rId15"/>
                    <a:stretch>
                      <a:fillRect/>
                    </a:stretch>
                  </pic:blipFill>
                  <pic:spPr>
                    <a:xfrm>
                      <a:off x="0" y="0"/>
                      <a:ext cx="5731510" cy="2211070"/>
                    </a:xfrm>
                    <a:prstGeom prst="rect">
                      <a:avLst/>
                    </a:prstGeom>
                  </pic:spPr>
                </pic:pic>
              </a:graphicData>
            </a:graphic>
          </wp:inline>
        </w:drawing>
      </w:r>
    </w:p>
    <w:p w14:paraId="5368DFC0" w14:textId="51632089" w:rsidR="004338D5" w:rsidRDefault="00E539B5" w:rsidP="004338D5">
      <w:r w:rsidRPr="00E539B5">
        <w:t>The outcomes of the correlation analysis presented in Table 4.5 indicate that the three ESG indicators have a positive relationship with the market capitalization of a firm. Precisely, the correlation coefficient between Environmental Score and market is 0.420, Social Index Score and market is 0.434, and Governance Index and market is 0.324 with all the correlations being statistically significant</w:t>
      </w:r>
      <w:r>
        <w:t xml:space="preserve"> at 5% significant level</w:t>
      </w:r>
      <w:r w:rsidRPr="00E539B5">
        <w:t xml:space="preserve">. This shows that the greater the ESG scores, the greater the market capitalization of a firm. When considering the relationships between the variables of the ESG in themselves, the correlation coefficients are between 0.416 and 0.469 indicating moderate positive relationships. The results indicated that the variance inflation </w:t>
      </w:r>
      <w:r w:rsidRPr="00E539B5">
        <w:lastRenderedPageBreak/>
        <w:t>factor did not indicate any major issue of multicollinearity since all of the correlations are below the threshold of 0.8 and it is in line with the results of the variance inflations factor, as the average value of VIF was 1.37.</w:t>
      </w:r>
    </w:p>
    <w:p w14:paraId="27BBD455" w14:textId="7B713001" w:rsidR="002F5D20" w:rsidRDefault="002F5D20" w:rsidP="002F5D20">
      <w:pPr>
        <w:pStyle w:val="Heading3"/>
      </w:pPr>
      <w:bookmarkStart w:id="48" w:name="_Toc224408915"/>
      <w:r>
        <w:t>4.3.2 Pooled Regression Analysis</w:t>
      </w:r>
      <w:bookmarkEnd w:id="48"/>
    </w:p>
    <w:p w14:paraId="0083CE56" w14:textId="5907D332" w:rsidR="009F6C87" w:rsidRDefault="009F6C87" w:rsidP="00994955">
      <w:r>
        <w:t xml:space="preserve">The results of the pooled regression analysis </w:t>
      </w:r>
      <w:proofErr w:type="gramStart"/>
      <w:r>
        <w:t>is</w:t>
      </w:r>
      <w:proofErr w:type="gramEnd"/>
      <w:r>
        <w:t xml:space="preserve"> as shown in Table </w:t>
      </w:r>
      <w:r w:rsidR="00F46DAA">
        <w:t>4.6.</w:t>
      </w:r>
    </w:p>
    <w:p w14:paraId="18EF2E4A" w14:textId="3168ABF7" w:rsidR="00F46DAA" w:rsidRDefault="00F46DAA" w:rsidP="00F46DAA">
      <w:pPr>
        <w:pStyle w:val="Heading4"/>
      </w:pPr>
      <w:bookmarkStart w:id="49" w:name="_Toc224408798"/>
      <w:r>
        <w:t>Table 4.6 Pooled Regression Analysis</w:t>
      </w:r>
      <w:bookmarkEnd w:id="49"/>
    </w:p>
    <w:p w14:paraId="0FCEDBC9" w14:textId="27AD2ACE" w:rsidR="00D22B00" w:rsidRDefault="00D22B00" w:rsidP="00BB60E5">
      <w:r w:rsidRPr="00D22B00">
        <w:rPr>
          <w:noProof/>
        </w:rPr>
        <w:drawing>
          <wp:inline distT="0" distB="0" distL="0" distR="0" wp14:anchorId="394FF535" wp14:editId="4B7EB9F6">
            <wp:extent cx="5730737" cy="3033023"/>
            <wp:effectExtent l="0" t="0" r="3810" b="0"/>
            <wp:docPr id="1114471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471930" name=""/>
                    <pic:cNvPicPr/>
                  </pic:nvPicPr>
                  <pic:blipFill>
                    <a:blip r:embed="rId16"/>
                    <a:stretch>
                      <a:fillRect/>
                    </a:stretch>
                  </pic:blipFill>
                  <pic:spPr>
                    <a:xfrm>
                      <a:off x="0" y="0"/>
                      <a:ext cx="5730737" cy="3033023"/>
                    </a:xfrm>
                    <a:prstGeom prst="rect">
                      <a:avLst/>
                    </a:prstGeom>
                  </pic:spPr>
                </pic:pic>
              </a:graphicData>
            </a:graphic>
          </wp:inline>
        </w:drawing>
      </w:r>
    </w:p>
    <w:p w14:paraId="51ECC943" w14:textId="6D7E4006" w:rsidR="00BB60E5" w:rsidRDefault="00BB60E5" w:rsidP="00BB60E5">
      <w:r>
        <w:t>Table 4.6 indicates that the regression model is statistically significant, and it gives valuable information about the impact of ESG elements on firm value. The</w:t>
      </w:r>
      <w:r w:rsidR="003C7AEF" w:rsidRPr="003C7AEF">
        <w:rPr>
          <w:color w:val="FFFFFF" w:themeColor="background1"/>
        </w:rPr>
        <w:t>2</w:t>
      </w:r>
      <w:r>
        <w:t xml:space="preserve">Environmental score coefficient is positive, and it is statistically significant at 1% level ( </w:t>
      </w:r>
      <m:oMath>
        <m:r>
          <w:rPr>
            <w:rFonts w:ascii="Cambria Math" w:hAnsi="Cambria Math"/>
          </w:rPr>
          <m:t>β</m:t>
        </m:r>
      </m:oMath>
      <w:r>
        <w:t xml:space="preserve"> = 1.987, p = 0.001). This finding indicates that a rise in the environmental score is linked to an increment in the firm market capitalization. Precisely, other factors held constant, the 1-unit higher of the environmental score results in the estimated increase of about 1.987 units of the natural logarithm of market capitalization. The positive relationship means that the better the firms are in terms of environmental performance, including better management of resources, the lesser the emissions, and </w:t>
      </w:r>
      <w:r w:rsidR="00D22B00">
        <w:t>environmentally</w:t>
      </w:r>
      <w:r>
        <w:t xml:space="preserve"> safe operations, the higher the market value of the firm. The environmental responsibility of a firm can make investors to view the firm as less risky and more sustainable over the long term, thereby boosting investor confidence, which ultimately drives the firm value.</w:t>
      </w:r>
    </w:p>
    <w:p w14:paraId="03F1E5A9" w14:textId="7542AA56" w:rsidR="00BB60E5" w:rsidRDefault="00BB60E5" w:rsidP="00BB60E5">
      <w:proofErr w:type="spellStart"/>
      <w:r>
        <w:t>Similary</w:t>
      </w:r>
      <w:proofErr w:type="spellEnd"/>
      <w:r>
        <w:t>, the social score too presents a positive and statistically significant association with market capitalization at 1% level of significance (</w:t>
      </w:r>
      <m:oMath>
        <m:r>
          <w:rPr>
            <w:rFonts w:ascii="Cambria Math" w:hAnsi="Cambria Math"/>
          </w:rPr>
          <m:t>β</m:t>
        </m:r>
      </m:oMath>
      <w:r>
        <w:t xml:space="preserve"> = 2.014, p &lt; 0.001). This shows that better </w:t>
      </w:r>
      <w:r>
        <w:lastRenderedPageBreak/>
        <w:t>social performance of a firm, such as the welfare of its employees, its relation with communities and its relation with the customers are related to high market capitalization. One unit change in the social score implies a change in ln markcap of about 2.014 units, other things being equal. This result indicates that organizations that invest in social responsibility projects are likely to enjoy better stakeholder relations, have improved corporate image and get more investors hence gaining more market value.</w:t>
      </w:r>
    </w:p>
    <w:p w14:paraId="72044175" w14:textId="36F16326" w:rsidR="00BB60E5" w:rsidRDefault="00BB60E5" w:rsidP="00BB60E5">
      <w:r>
        <w:t>The Governance score, displays a positive and statistically significant effect on market capitalization (</w:t>
      </w:r>
      <m:oMath>
        <m:r>
          <w:rPr>
            <w:rFonts w:ascii="Cambria Math" w:hAnsi="Cambria Math"/>
          </w:rPr>
          <m:t>β</m:t>
        </m:r>
      </m:oMath>
      <w:r>
        <w:t xml:space="preserve"> = 0.732, p = 0.382), however it has lower effect compared to environmental scores and social score. </w:t>
      </w:r>
      <w:r w:rsidR="004B3A43">
        <w:t>The</w:t>
      </w:r>
      <w:r>
        <w:t xml:space="preserve"> coefficient suggests the possibility of better corporate governance practices being linked to high market capitalization, the relationship is found to be significant at </w:t>
      </w:r>
      <w:r w:rsidR="004B3A43">
        <w:t xml:space="preserve">5% </w:t>
      </w:r>
      <w:r>
        <w:t xml:space="preserve">level of significance. This is an indication that, in the sample given, governance practices </w:t>
      </w:r>
      <w:r w:rsidR="004B3A43">
        <w:t>moderately</w:t>
      </w:r>
      <w:r>
        <w:t xml:space="preserve"> affect firm market capitalization.</w:t>
      </w:r>
    </w:p>
    <w:p w14:paraId="28502722" w14:textId="77777777" w:rsidR="00BB60E5" w:rsidRDefault="00BB60E5" w:rsidP="00BB60E5">
      <w:r>
        <w:t xml:space="preserve">The constant term is positive and statistically significant (b = 19.29, p &lt; 0.001), which means the value of </w:t>
      </w:r>
      <w:proofErr w:type="spellStart"/>
      <w:r>
        <w:t>ln_markcap</w:t>
      </w:r>
      <w:proofErr w:type="spellEnd"/>
      <w:r>
        <w:t xml:space="preserve"> expected in case all the independent variables have the value of zero. Although the constant is not of major substantive concern, it serves to determine the level of the dependent variable at the baselines in the regression equation.</w:t>
      </w:r>
    </w:p>
    <w:p w14:paraId="5F6D0C77" w14:textId="0B9A97FE" w:rsidR="00F46DAA" w:rsidRDefault="00BB60E5" w:rsidP="00BB60E5">
      <w:r>
        <w:t>The model is statistically significant. The F-value is 19.085 and the probability value is 0.000, which indicates that the joint effect of all the independent variables on market capitalization of firms is significant. The value of R-squared reported (0.261) implies that the ESG variables in the model explain around 26.1 percent of the variance of the market capitalization of the firms</w:t>
      </w:r>
      <w:r w:rsidR="007418C9">
        <w:t>, which</w:t>
      </w:r>
      <w:r>
        <w:t xml:space="preserve"> indicates a moderate explanatory power.</w:t>
      </w:r>
    </w:p>
    <w:p w14:paraId="658403BF" w14:textId="3C611A93" w:rsidR="004B3A43" w:rsidRPr="00F46DAA" w:rsidRDefault="004B3A43" w:rsidP="004B3A43">
      <w:pPr>
        <w:pStyle w:val="Heading2"/>
      </w:pPr>
      <w:bookmarkStart w:id="50" w:name="_Toc224408916"/>
      <w:r>
        <w:t>4.4 Effect of Overall ESG on Market Capitalization</w:t>
      </w:r>
      <w:bookmarkEnd w:id="50"/>
    </w:p>
    <w:p w14:paraId="48987C55" w14:textId="5B703DFA" w:rsidR="002F5D20" w:rsidRDefault="00F57E5F" w:rsidP="002F5D20">
      <w:r w:rsidRPr="00F57E5F">
        <w:t>In an attempt to investigate further the association between the sustainability performance and firm value, a robustness analysis has been done using an overall Environmental, Social and Governance (ESG) score which has been built as a composite measure of the three ESG dimensions. As opposed to the earlier model that determined the single effects of Environmental, Social and Governance scores, the current analysis will be carried out in terms of the overall changes induced on a firm market capitalization by ESG performance. This robustness test is supposed to identify whether the overall ESG performance of a firm has a major impact on the market capitalization when it is considered as a single explanatory variable.</w:t>
      </w:r>
      <w:r>
        <w:t xml:space="preserve"> The findings are presented in Table 4.7. </w:t>
      </w:r>
    </w:p>
    <w:p w14:paraId="1F22BDD2" w14:textId="2CB0F898" w:rsidR="00F57E5F" w:rsidRDefault="00CE1395" w:rsidP="00CE1395">
      <w:pPr>
        <w:pStyle w:val="Heading4"/>
      </w:pPr>
      <w:bookmarkStart w:id="51" w:name="_Toc224408799"/>
      <w:r>
        <w:lastRenderedPageBreak/>
        <w:t>Table 4.7 Linear Regression Results (Robust Analysis)</w:t>
      </w:r>
      <w:bookmarkEnd w:id="51"/>
    </w:p>
    <w:p w14:paraId="4669555E" w14:textId="7CEF0C05" w:rsidR="007418C9" w:rsidRPr="007418C9" w:rsidRDefault="007418C9" w:rsidP="007418C9">
      <w:r w:rsidRPr="007418C9">
        <w:rPr>
          <w:noProof/>
        </w:rPr>
        <w:drawing>
          <wp:inline distT="0" distB="0" distL="0" distR="0" wp14:anchorId="79AD1A24" wp14:editId="00D0E0E0">
            <wp:extent cx="5692633" cy="2438611"/>
            <wp:effectExtent l="0" t="0" r="3810" b="0"/>
            <wp:docPr id="1800632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32611" name=""/>
                    <pic:cNvPicPr/>
                  </pic:nvPicPr>
                  <pic:blipFill>
                    <a:blip r:embed="rId17"/>
                    <a:stretch>
                      <a:fillRect/>
                    </a:stretch>
                  </pic:blipFill>
                  <pic:spPr>
                    <a:xfrm>
                      <a:off x="0" y="0"/>
                      <a:ext cx="5692633" cy="2438611"/>
                    </a:xfrm>
                    <a:prstGeom prst="rect">
                      <a:avLst/>
                    </a:prstGeom>
                  </pic:spPr>
                </pic:pic>
              </a:graphicData>
            </a:graphic>
          </wp:inline>
        </w:drawing>
      </w:r>
    </w:p>
    <w:p w14:paraId="3710B2B3" w14:textId="0DB18CFC" w:rsidR="00CE1395" w:rsidRDefault="00CE1395" w:rsidP="00CE1395">
      <w:r>
        <w:t>Table 4.7 shows the regression to determine the impact of the composite Environmental, Social, and Governance (ESG) score on the market capitalization of firms. Under this robustness test, ESG is built combining the three dimensions of sustainability to measure the total effect of the ESG performance on the value of a firm. From the results, ESG composite score has a positive statistically significant impact on the market capitalization of firms. The ESG coefficient is 5.084 and the standard error is 0.679 and the t-value is 7.48.</w:t>
      </w:r>
      <w:r w:rsidR="00DC69EF">
        <w:t xml:space="preserve"> </w:t>
      </w:r>
      <w:r w:rsidR="00DC69EF" w:rsidRPr="00DC69EF">
        <w:t>The p-value is 0.000 indicating that the relationship is significant at 1 percent significant level. It implies that a one-unit shift in ESG score will be associated with a 5.084-unit increase in the natural logarithm of market capitalization other things being unchanged. This positive coefficient suggests that better overall performance of the company in terms of ESG implies greater likelihood of the company being more highly valued by the market. This observation supports the argument that investors are increasingly making more focus on companies that demonstrate an interest in environmental sustainability, social responsibility and good governance behaviours.</w:t>
      </w:r>
      <w:r>
        <w:t xml:space="preserve"> </w:t>
      </w:r>
    </w:p>
    <w:p w14:paraId="42ACC3A3" w14:textId="3C5E16BF" w:rsidR="00CE1395" w:rsidRDefault="00CE1395" w:rsidP="00CE1395">
      <w:r>
        <w:t>Additionally, the overall model indicate that the regression model is statistically significant. The F-statistic is 56.008 with a probability value of 0.000, which means that the entire model is significant and ESG performance is a significant predictor of market capitalization. The model also describes a significant percentage of change in firm value. The value of R-squared is 0.255, which suggests that the ESG composite variable included in the model explains about 25.5% of the fluctuation in the market capitalization of firms. Although it shows a moderate power of explanation, firm market capitalization is affected by other factors which are not incorporated in the model.</w:t>
      </w:r>
    </w:p>
    <w:p w14:paraId="31575565" w14:textId="51F2A671" w:rsidR="00B8679E" w:rsidRDefault="00B8679E" w:rsidP="00470124">
      <w:pPr>
        <w:pStyle w:val="Heading1"/>
      </w:pPr>
      <w:r>
        <w:lastRenderedPageBreak/>
        <w:t xml:space="preserve"> </w:t>
      </w:r>
      <w:bookmarkStart w:id="52" w:name="_Toc224408917"/>
      <w:r>
        <w:t>Chapter Five: Discussion</w:t>
      </w:r>
      <w:bookmarkEnd w:id="52"/>
    </w:p>
    <w:p w14:paraId="2427D698" w14:textId="39BC6DA6" w:rsidR="00B8679E" w:rsidRDefault="00BC0C53" w:rsidP="00B8679E">
      <w:r w:rsidRPr="00BC0C53">
        <w:t xml:space="preserve">This chapter presents and decodes the empirical results in Chapter Four. </w:t>
      </w:r>
      <w:r>
        <w:t>The chapter is organized in different sections. First, it discusses the reporting of ESG among the firms listed. Secondly, it discusses the results in line with the study objectives and hypotheses, which are then corroborated with the literature review.</w:t>
      </w:r>
    </w:p>
    <w:p w14:paraId="180082B1" w14:textId="49B5CB95" w:rsidR="00BC0C53" w:rsidRDefault="00BC0C53" w:rsidP="00BC0C53">
      <w:pPr>
        <w:pStyle w:val="Heading2"/>
      </w:pPr>
      <w:bookmarkStart w:id="53" w:name="_Toc224408918"/>
      <w:r>
        <w:t>5.1 Discussion of the ESG Initiatives among the Firms Listed at NSE</w:t>
      </w:r>
      <w:bookmarkEnd w:id="53"/>
    </w:p>
    <w:p w14:paraId="2565D19C" w14:textId="0F9C295A" w:rsidR="00AA6C94" w:rsidRPr="00AA6C94" w:rsidRDefault="00AA6C94" w:rsidP="00AA6C94">
      <w:r w:rsidRPr="00AA6C94">
        <w:t>The annual trend of the total ESG mean indicates the gradual rise of the same, at 0.629 in 2022, 0.641 in 2023, and 0.656 in 2024. Such a gradual increase suggests that there has been a gradual improvement in the reporting of ESG by NSE-listed companies although the improvement has not been dramatic. According to the trend, it can be seen that companies are becoming more familiar with the need to disclose sustainability and are increasingly considering ESG when reporting their outcomes. This conclusion goes directly in support of the thesis of Chapter One, stating that ESG has been making headway in the global context as well as the Kenyan corporate sphere. Friede et al. (20</w:t>
      </w:r>
      <w:r w:rsidR="00781CE4">
        <w:t>15</w:t>
      </w:r>
      <w:r w:rsidRPr="00AA6C94">
        <w:t>) suggested that sustainability is no longer regarded as the fringe of the business strategy but is discussed as the component of long-term value generation, and Eccles and Klimenko (20</w:t>
      </w:r>
      <w:r w:rsidR="00781CE4">
        <w:t>19</w:t>
      </w:r>
      <w:r w:rsidRPr="00AA6C94">
        <w:t>) noted that companies in various industries are pressured to institutionalize ESG values in reporting and operations. The increase in the ESG mean in this paper can be considered empirical evidence of the opinion that listed companies are shifting towards the wider integration of sustainability.</w:t>
      </w:r>
    </w:p>
    <w:p w14:paraId="4E27026C" w14:textId="37CF47AF" w:rsidR="00AA6C94" w:rsidRPr="00AA6C94" w:rsidRDefault="00AA6C94" w:rsidP="00AA6C94">
      <w:r w:rsidRPr="00AA6C94">
        <w:t>The descriptive results indicate that the disclosure of ESG in the firms that are listed in the Nairobi Securities Exchange is not evenly distributed among the three dimensions; that is, governance reporting is the most developed, social reporting is in the middle stage, and environmental reporting is the least developed. A mean score of 0.542 in the environmental score shows that there is only a moderate disclosure of environmental concerns, which means that despite firms paying more attention to the sustainability concerns, most of them pay more attention to the general policy statements rather than specific performance indicators of environmental effects, including emissions reduction, water efficiency, climate risk exposure, and green financing performance. This trend is in line with the larger argument in Chapter One that ESG has been taking hold in the corporate world, albeit with various dimensions at varying rates. Indicatively, Friede et al. (20</w:t>
      </w:r>
      <w:r w:rsidR="00781CE4">
        <w:t>15</w:t>
      </w:r>
      <w:r w:rsidRPr="00AA6C94">
        <w:t>) and Eccles and Klimenko (20</w:t>
      </w:r>
      <w:r w:rsidR="00781CE4">
        <w:t>19</w:t>
      </w:r>
      <w:r w:rsidRPr="00AA6C94">
        <w:t xml:space="preserve">) found that ESG has become part of corporate strategy in many countries around the world, but companies tend to start their progress with general statements and disclosure systems and then turn to the full </w:t>
      </w:r>
      <w:r w:rsidRPr="00AA6C94">
        <w:lastRenderedPageBreak/>
        <w:t>professionalization of measurable sustainability performance. This conclusion is in tandem with Amel-Zadeh and Serafeim (201</w:t>
      </w:r>
      <w:r w:rsidR="002145F9">
        <w:t>8</w:t>
      </w:r>
      <w:r w:rsidRPr="00AA6C94">
        <w:t>), who established that ESG reporting has become the most popular form of strategic intent communication to investors, although operational disclosure remains in its developing stages. The moderate environmental mean in the NSE context indicates that the environmental disclosure is emerging, though it is relatively weaker as pressure on the environmental regulation is not as strong as it is in the governance-related reporting.</w:t>
      </w:r>
    </w:p>
    <w:p w14:paraId="4994BE47" w14:textId="39BF21B3" w:rsidR="00AA6C94" w:rsidRPr="00AA6C94" w:rsidRDefault="00AA6C94" w:rsidP="00AA6C94">
      <w:r>
        <w:t>Social reporting received a mean</w:t>
      </w:r>
      <w:r w:rsidRPr="00AA6C94">
        <w:t xml:space="preserve"> 0.651, which means that the firms provide more information on social matters than on environmental matters</w:t>
      </w:r>
      <w:r>
        <w:t>. This implies</w:t>
      </w:r>
      <w:r w:rsidRPr="00AA6C94">
        <w:t xml:space="preserve"> that social reporting is a relatively more institutionalized aspect of the ESG in listed companies. This finding can be attributed to the maturing culture of corporate social responsibility in Kenya, the mounting pressure on firms to ensure continuity with stakeholders, and the rising focus on social programs like community support, employee welfare, and financial inclusion. As stated in Chapter One, it was contended that ESG has grown in part due to the rise in the importance of non-financial disclosures in assessing the long-term resilience and legitimacy of investors and other stakeholders, and the higher scores on social scores lend credence to the suggestion. It is also similar to the findings of Omondi and Muturi (2021) and Muriithi and Waweru (2022), who have noted that Kenyan listed companies have been adopting sustainability and responsibility initiatives as a part of a larger accountability and stakeholder inclusion strategy. Moreover, the increased social score fits the argument brought forth by Njoroge and Kinoti (2023) that the interest of investors in sustainability disclosures has grown in Kenya, motivating firms to better indicate social responsibility. Accordingly, the more powerful social disclosure aspect shows the fact that companies in the emerging markets tend to address the first observable stakeholder expectations and legitimacy pressure and then institutionalize more technical environmental responsibility.</w:t>
      </w:r>
    </w:p>
    <w:p w14:paraId="6A5489D9" w14:textId="6DF1F2F2" w:rsidR="00AA6C94" w:rsidRDefault="00AA6C94" w:rsidP="00AA6C94">
      <w:r w:rsidRPr="00AA6C94">
        <w:t xml:space="preserve">Governance received the highest mean score of 0.734, suggesting that it is the most effective ESG dimension among the sampled firms. It implies that companies heavily report issues pertaining to governance, such as the composition of the board, the company's internal control, communication with shareholders, adherence to regulations, and transparency. The pre-eminence of governance reporting is understandable since the governance disclosures are more formal in the form of regulatory frameworks, such as the NSE governance code and the requirements of the Capital Markets Authority, compared to the environmental disclosures that are relatively less formal and more voluntary. This observation supports the argument made in </w:t>
      </w:r>
      <w:r w:rsidRPr="00AA6C94">
        <w:lastRenderedPageBreak/>
        <w:t>Chapter One that ESG has been gaining momentum partly due to institutional and regulatory forces that put pressure on listed firms to improve transparency and accountability. It is also in line with UNCTAD (2021) and the World Bank (2022), which noted that stock exchanges and regulatory bodies in the developing economies are becoming more and more supportive of the ESG disclosure standards, frequently starting with governance-related transparency. Similarly, Ioannou and Serafeim (2022) demonstrated that regulatory frameworks are influential in enhancing the discipline of corporate reporting. Thus, the descriptive trend observed herein indicates that even though ESG is obviously gaining momentum in the NSE, the same is most pronounced in the governance aspect, midway in social disclosure, and emerging in environmental reporting.</w:t>
      </w:r>
    </w:p>
    <w:p w14:paraId="4A432294" w14:textId="6316302B" w:rsidR="00AA6C94" w:rsidRDefault="00AA6C94" w:rsidP="00AA6C94">
      <w:pPr>
        <w:pStyle w:val="Heading2"/>
      </w:pPr>
      <w:bookmarkStart w:id="54" w:name="_Toc224408919"/>
      <w:r>
        <w:t>5.2 Effect of Environmental Reporting on Firm Value</w:t>
      </w:r>
      <w:bookmarkEnd w:id="54"/>
    </w:p>
    <w:p w14:paraId="4D79DA98" w14:textId="673D3ABF" w:rsidR="00904F7B" w:rsidRPr="00904F7B" w:rsidRDefault="00904F7B" w:rsidP="00904F7B">
      <w:r w:rsidRPr="00904F7B">
        <w:t xml:space="preserve">The </w:t>
      </w:r>
      <w:r>
        <w:t>research</w:t>
      </w:r>
      <w:r w:rsidRPr="00904F7B">
        <w:t xml:space="preserve"> first goal was to assess how environmental reporting affected the value of firms on the Nairobi Securities Exchange. The study's hypothesis was that the more a firm acts well on the environment, the more investors will trust the firm and seek to invest in it based on its sustainability practices, which will increase the firm's valuation over time. Such environmental programs as energy use, waste management, emissions, and climate risk management are now seen as indicators of long-term corporate sustainability and risk management. Therefore, the research hypothesis posited that environmental reporting significantly influences the market value of listed companies, as evidenced by correlation and regression analysis.</w:t>
      </w:r>
    </w:p>
    <w:p w14:paraId="56C3D860" w14:textId="7AF91931" w:rsidR="00904F7B" w:rsidRPr="00904F7B" w:rsidRDefault="00904F7B" w:rsidP="00904F7B">
      <w:r w:rsidRPr="00904F7B">
        <w:t>The correlation analysis brought out a positive relationship between environmental disclosure and firm market value; it is seen that companies that report more environmental disclosures have relatively higher market capitalizations. This association means that transparency in the environment can be an indicator of responsible corporate behaviour and the management of risks better than the investors. The findings were further supported by the regression analysis, which indicated that while environmental disclosure positively impacts the market value of the firm, this impact is relatively moderate compared to other dimensions of the ERG. The findings suggest that environmental reporting will lead to investment perception of corporate sustainability and long-term feasibility, hence affecting the market valuation procedures in the capital market.</w:t>
      </w:r>
    </w:p>
    <w:p w14:paraId="3250CEF1" w14:textId="77777777" w:rsidR="00904F7B" w:rsidRPr="00904F7B" w:rsidRDefault="00904F7B" w:rsidP="00904F7B">
      <w:r w:rsidRPr="00904F7B">
        <w:t xml:space="preserve">The results of the research fall in line with some of the empirical studies that have been reviewed and have found a positive relationship between environmental responsibility and firm value. As an illustration, El Ghoul et al. (2011) established that companies whose </w:t>
      </w:r>
      <w:r w:rsidRPr="00904F7B">
        <w:lastRenderedPageBreak/>
        <w:t>environmental performance is higher are likely to have a lower cost of capital and financial valuation, as it is assumed that the company is less risky. On the same note, Sharfman and Fernando (2008) have shown that environmental risk management and sustainability disclosure assist firms in reducing operational risks and enhancing the confidence of investors. Similarly, Albuquerque et al. (2012) also reasoned that environmental sustainability projects can be strategic investments that can boost the competitiveness and profitability of firms in the long run. The overlap of the current results with these studies is due to the fact that environmental reporting reduces the information asymmetry between firms and investors, making financial markets more transparent and credible.</w:t>
      </w:r>
    </w:p>
    <w:p w14:paraId="611FB4E3" w14:textId="77777777" w:rsidR="00904F7B" w:rsidRPr="00904F7B" w:rsidRDefault="00904F7B" w:rsidP="00904F7B">
      <w:r w:rsidRPr="00904F7B">
        <w:t>Nevertheless, the results of the current study do not align with those of certain existing research studies that were utilized. As an example, Aupperle et al. (1985) and McWilliams and Siegel (1997) suggested that environmental and social investments could raise operating expenses and lower short-term profitability in the event that they are not planned against strategic corporate goals. On the same note, Jensen (2002) argued that overemphasis on social and environmental objectives can potentially cause the managerial focus to be shifted out of the core objective of wealth maximization of the shareholders. The variations in institutional settings, investor expectations, and rule systems explain the difference between the present results and these studies. Therefore, it is evident that investors might value environmental initiatives even though the immediate financial payoff is not evident.</w:t>
      </w:r>
    </w:p>
    <w:p w14:paraId="186B514B" w14:textId="6C90F81C" w:rsidR="00904F7B" w:rsidRDefault="00904F7B" w:rsidP="00904F7B">
      <w:r w:rsidRPr="00904F7B">
        <w:t>The propositions put forward by signalling theory as put forward by Spence (1973) and developed on in corporate disclosure literature by Ross (1977) are supported by the research findings of the study. Signalling theory holds that firms willingly reveal information as a signal of high quality, credibility, and transparency to investors. The role of environmental reporting, therefore, plays the role of a sign of responsible corporate governance and long-term management of risks. The increased information asymmetry caused by offering more transparency on environmental practices and sustainability efforts helps firms improve investor confidence, which ultimately leads to better market valuation.</w:t>
      </w:r>
    </w:p>
    <w:p w14:paraId="1813A4EA" w14:textId="1995D34D" w:rsidR="00904F7B" w:rsidRDefault="00904F7B" w:rsidP="00904F7B">
      <w:pPr>
        <w:pStyle w:val="Heading2"/>
      </w:pPr>
      <w:bookmarkStart w:id="55" w:name="_Toc224408920"/>
      <w:r>
        <w:t>5.3 Effect of Social Reporting on Firm Value</w:t>
      </w:r>
      <w:bookmarkEnd w:id="55"/>
    </w:p>
    <w:p w14:paraId="75451501" w14:textId="77777777" w:rsidR="00B66A60" w:rsidRPr="00B66A60" w:rsidRDefault="00B66A60" w:rsidP="00B66A60">
      <w:r w:rsidRPr="00B66A60">
        <w:t xml:space="preserve">The second research question was to investigate how social reporting has an impact on the market value of Nairobi Securities Exchange-listed firms. The hypothesis of the study was that companies that proactively report on social responsibility efforts will experience increased stakeholder trust, which will increase their market valuation. Social reporting involves </w:t>
      </w:r>
      <w:r w:rsidRPr="00B66A60">
        <w:lastRenderedPageBreak/>
        <w:t>reporting on the welfare of employees, diversity and inclusion, community involvement, corporate social responsibility programs, and financial inclusion initiatives. Such revelations are indicative of the fact that companies understand that they have multiple responsibilities to society at large and that they are dedicated to maintaining sustainable stakeholder relationships. The study was therefore a test of the hypothesis that social reporting contributes greatly to the market value of listed firms, which is done through correlation and regression analysis.</w:t>
      </w:r>
    </w:p>
    <w:p w14:paraId="7643D041" w14:textId="77777777" w:rsidR="00B66A60" w:rsidRPr="00B66A60" w:rsidRDefault="00B66A60" w:rsidP="00B66A60">
      <w:r w:rsidRPr="00B66A60">
        <w:t>The correlation analysis found out that there is a positive correlation between social disclosure and firm market value, as it would mean that those firms that disclose more about their social responsibility activities have a relatively higher market capitalization. The association means that investors can view companies that actively participate in social activities as more responsible and sustainable, which contributes to their appeal in the capital markets. The regression analysis also confirmed the value of the results obtained, since it indicated a statistically significant positive impact of social reporting on firm value. The implication of these results is that corporate responsibility programs may lead to improvement in corporate image, improvement of stakeholder relations, and eventually better investor confidence and share price.</w:t>
      </w:r>
    </w:p>
    <w:p w14:paraId="2299486C" w14:textId="5987A990" w:rsidR="00B66A60" w:rsidRPr="00B66A60" w:rsidRDefault="00B66A60" w:rsidP="00B66A60">
      <w:r w:rsidRPr="00B66A60">
        <w:t xml:space="preserve">The findings of the research are in line with several empirical studies reviewed, which have determined the positive relationship between social responsibility and firms' performance. As an example, Orlitzky, Schmidt, and Rynes (2003) discovered that companies with high levels of social responsibility are more likely to record high financial performance since the high levels of social responsibility enhance the relationships among stakeholders and the reputation of the company. On the same note, Hillman and Keim (2001) showed that the stakeholder relations investment, such as the welfare of its workforce as well as engaging the community, makes a difference in the long-term value creation of firms. Besides this, Porter and Kramer (2011) maintained that incorporating social responsibility in the corporate strategy is able to create shared value because it enhances the welfare of the society and competitiveness of the business at the same time. The overlap of these studies and the current results can be justified by the fact that social initiatives reinforce the legitimacy of firms in communities and markets that they operate in and consequently draw investors who attach importance to responsible corporate </w:t>
      </w:r>
      <w:r w:rsidR="005C6259" w:rsidRPr="00B66A60">
        <w:t>behaviour</w:t>
      </w:r>
      <w:r w:rsidRPr="00B66A60">
        <w:t>.</w:t>
      </w:r>
    </w:p>
    <w:p w14:paraId="6D7C25FB" w14:textId="77777777" w:rsidR="00B66A60" w:rsidRPr="00B66A60" w:rsidRDefault="00B66A60" w:rsidP="00B66A60">
      <w:r w:rsidRPr="00B66A60">
        <w:t xml:space="preserve">Nonetheless, the results of the present research are different from certain research that has been examined. Indicatively, Barnea and Rubin (2010) advanced the argument that managers are sometimes likely to take on too many corporate social responsibility activities to benefit their </w:t>
      </w:r>
      <w:r w:rsidRPr="00B66A60">
        <w:lastRenderedPageBreak/>
        <w:t xml:space="preserve">reputations instead of shareholders' interests, which might lower the value of the firm. Equally, as indicated by Brammer, Brooks, and </w:t>
      </w:r>
      <w:proofErr w:type="spellStart"/>
      <w:r w:rsidRPr="00B66A60">
        <w:t>Pavelin</w:t>
      </w:r>
      <w:proofErr w:type="spellEnd"/>
      <w:r w:rsidRPr="00B66A60">
        <w:t xml:space="preserve"> (2006), there were weak or weak ties between corporate social performance and financial performance, especially where the social initiatives are not aligned to corporate goals. The difference between these studies and the existing results could be explained by the currency of the research. These works by Barnea and Rubin (2010) and Brammer, Brooks, and </w:t>
      </w:r>
      <w:proofErr w:type="spellStart"/>
      <w:r w:rsidRPr="00B66A60">
        <w:t>Pavelin</w:t>
      </w:r>
      <w:proofErr w:type="spellEnd"/>
      <w:r w:rsidRPr="00B66A60">
        <w:t xml:space="preserve"> (2006) were done several decades ago. At that period, the concept of ESG was in its initial steps of practical implementation and in the literature.</w:t>
      </w:r>
    </w:p>
    <w:p w14:paraId="4ECA0AB7" w14:textId="32D17010" w:rsidR="00B66A60" w:rsidRDefault="00B66A60" w:rsidP="00B66A60">
      <w:r>
        <w:t>Overall</w:t>
      </w:r>
      <w:r w:rsidRPr="00B66A60">
        <w:t>, the results of the given work prove the propositions of the stakeholder theory, which is promoted by Freeman (1984) and developed by Donaldson and Preston (1995). According to the stakeholder theory, firms are able to generate sustainable value through the management of relationships with the key stakeholders, such as employees, customers, communities, and investors. Social reporting is thus one of the available mechanisms where companies can show that they are concerned with stakeholders and that they practice ethical corporate practices. Social disclosure can increase the perceived long-term sustainability of firms by increasing the level of trust and corporate reputation of the stakeholders, and this action may positively affect investor confidence and eventually lead to firm market value.</w:t>
      </w:r>
    </w:p>
    <w:p w14:paraId="46730AA3" w14:textId="003A445A" w:rsidR="00B66A60" w:rsidRPr="00B66A60" w:rsidRDefault="00B66A60" w:rsidP="00B66A60">
      <w:pPr>
        <w:pStyle w:val="Heading2"/>
      </w:pPr>
      <w:bookmarkStart w:id="56" w:name="_Toc224408921"/>
      <w:r>
        <w:t>5.4 Effect of Governance Reporting on Firm Value</w:t>
      </w:r>
      <w:bookmarkEnd w:id="56"/>
    </w:p>
    <w:p w14:paraId="5441A721" w14:textId="099FCB59" w:rsidR="00CF667B" w:rsidRPr="00CF667B" w:rsidRDefault="00CF667B" w:rsidP="00CF667B">
      <w:r w:rsidRPr="00CF667B">
        <w:t xml:space="preserve">The third aim of the research was to test the impact of governance reporting on the market value of listed firms on the NSE. The hypothesis of the study was that firms with a better level of governance transparency have higher chances of attracting investor confidence and increase their market valuation. The governance reporting includes disclosures concerning board membership, audit committee organization, internal controls, executive compensation, risk management, and the mode of communication with shareholders. Such revelations give the investors data on how companies are supervised and governed, thus reducing the risk of uncertainty about the </w:t>
      </w:r>
      <w:r w:rsidR="005C6259" w:rsidRPr="00CF667B">
        <w:t>behaviour</w:t>
      </w:r>
      <w:r w:rsidRPr="00CF667B">
        <w:t xml:space="preserve"> of managers. As a result, the study demonstrated the hypothesis that governance reporting plays an important role in the market value of the listed firms through correlation and regression analysis.</w:t>
      </w:r>
    </w:p>
    <w:p w14:paraId="75B572B4" w14:textId="77777777" w:rsidR="00CF667B" w:rsidRPr="00CF667B" w:rsidRDefault="00CF667B" w:rsidP="00CF667B">
      <w:r w:rsidRPr="00CF667B">
        <w:t xml:space="preserve">The correlation analysis showed a positive relationship exists between the disclosure of governance and the value of a firm in the market, such that firms that exhibit more transparency in their governance process are likely to have their market capitalization. It is associated with the hypothesis that </w:t>
      </w:r>
      <w:proofErr w:type="gramStart"/>
      <w:r w:rsidRPr="00CF667B">
        <w:t>investors</w:t>
      </w:r>
      <w:proofErr w:type="gramEnd"/>
      <w:r w:rsidRPr="00CF667B">
        <w:t xml:space="preserve"> view companies that have better governance structures as more responsible and less prone to managerial opportunism. The regression analysis also supported </w:t>
      </w:r>
      <w:r w:rsidRPr="00CF667B">
        <w:lastRenderedPageBreak/>
        <w:t>the findings, indicating that governance disclosure has a strong positive effect on firm value. These findings suggest that good governance will improve manager oversight and boost investor confidence in the firm's strategic decisions. Consequently, corporate accountability and financial discipline in capital markets have become a critical indicator of government transparency.</w:t>
      </w:r>
    </w:p>
    <w:p w14:paraId="4CFE5BCD" w14:textId="77777777" w:rsidR="00CF667B" w:rsidRPr="00CF667B" w:rsidRDefault="00CF667B" w:rsidP="00CF667B">
      <w:r w:rsidRPr="00CF667B">
        <w:t>These results agree with the postulations of the agency theory, as formulated by Jensen and Meckling (1976). The agency theory indicates that the existence of a conflict of interest between managers (agents) and shareholders (principals) results when managers are driven by personal goals, which are not fully compatible with the maximization of shareholders' wealth. The mechanisms of governance, like independent boards, audit committees, and open reporting systems, are used to mitigate agency conflicts by enhancing oversight and accountability. Governance disclosure will lower agency costs by enhancing monitoring and aligning the managerial incentives with the interests of shareholders and increasing investor confidence in the firm's management.</w:t>
      </w:r>
    </w:p>
    <w:p w14:paraId="55149D6A" w14:textId="77777777" w:rsidR="00CF667B" w:rsidRPr="00CF667B" w:rsidRDefault="00CF667B" w:rsidP="00CF667B">
      <w:r w:rsidRPr="00CF667B">
        <w:t xml:space="preserve">Moreover, the cost of capital theory is also consistent with the results, as it postulates that a company that has better governance and transparency is viewed by investors and creditors as less risky. Diamond and Verrecchia (1991) argue that, with better disclosure, the information asymmetry existing among firms and capital providers will be reduced; thus, the cost of external financing will decrease. On the same note, Lambert, </w:t>
      </w:r>
      <w:proofErr w:type="spellStart"/>
      <w:r w:rsidRPr="00CF667B">
        <w:t>Leuz</w:t>
      </w:r>
      <w:proofErr w:type="spellEnd"/>
      <w:r w:rsidRPr="00CF667B">
        <w:t xml:space="preserve">, and Verrecchia (2007) reasoned that an increased degree of disclosure transparency would decrease perceived risk and increase market liquidity, which would eventually translate to a lower cost of capital and increased firm valuation. Governance reporting can also help in eliminating uncertainty about managerial </w:t>
      </w:r>
      <w:proofErr w:type="spellStart"/>
      <w:r w:rsidRPr="00CF667B">
        <w:t>behavior</w:t>
      </w:r>
      <w:proofErr w:type="spellEnd"/>
      <w:r w:rsidRPr="00CF667B">
        <w:t xml:space="preserve"> and financial reporting credibility in the context of this study, and hence investors would be more inclined to place higher valuations on firms with high governance transparency.</w:t>
      </w:r>
    </w:p>
    <w:p w14:paraId="12E7D276" w14:textId="77777777" w:rsidR="00CF667B" w:rsidRPr="00CF667B" w:rsidRDefault="00CF667B" w:rsidP="00CF667B">
      <w:r w:rsidRPr="00CF667B">
        <w:t xml:space="preserve">The findings of the research are congruent with several empirical studies reviewed that reported that excellent governance practices are related to better firm performance and valuation. Gomers, Ishii, and Metrick (2003) found that firms with better governance frameworks achieved higher firm value because these governance systems reduce managerial opportunism and encourage managers to make decisions that align with the interests of shareholders. In a similar manner, La Porta, Lopez-de-Silanes, and Shleifer (2002) discovered that corporate governance reforms increase the protection of investors and valuation of firms in financial markets. Further, Bhagat and Bolton (2008) also demonstrated that effective governance </w:t>
      </w:r>
      <w:r w:rsidRPr="00CF667B">
        <w:lastRenderedPageBreak/>
        <w:t>structures, like boards of independent directors and adequate audit committees, are positively related to the performance of a firm. The agreement of the current results with the previous studies is attributed to the fact that governing disclosures enhance transparency and accountability, which enhances greater investor confidence, and perceived risks are mitigated due to managerial decision-making.</w:t>
      </w:r>
    </w:p>
    <w:p w14:paraId="5947BE9F" w14:textId="0E7343F1" w:rsidR="00BC0C53" w:rsidRDefault="00CF667B" w:rsidP="00CF667B">
      <w:pPr>
        <w:pStyle w:val="Heading2"/>
      </w:pPr>
      <w:bookmarkStart w:id="57" w:name="_Toc224408922"/>
      <w:r>
        <w:t>5.5 Overall Effect of ESG on Firm Value</w:t>
      </w:r>
      <w:bookmarkEnd w:id="57"/>
    </w:p>
    <w:p w14:paraId="234D027E" w14:textId="77777777" w:rsidR="00DE74E8" w:rsidRPr="00DE74E8" w:rsidRDefault="00DE74E8" w:rsidP="00DE74E8">
      <w:r w:rsidRPr="00DE74E8">
        <w:t>The analysis of the entire ESG index in this research achieved an average value of 0.642, which implies a medium level of sustainability reporting among firms listed in the NSE The descriptive statistics also indicated that there was a slow growth in ESG reporting from 0.629 in 2022 to 0.656 in 2024, and companies are more involved in corporate reporting practices with environmental, social, and governance concerns, reflecting a growing recognition of the importance of sustainability in enhancing their reputation and attracting investors. Taken jointly, ESG disclosure indicates the determination of a firm to pursue sustainable business and healthy corporate governance that could affect investor perception and valuation of the firm. The correlation and regression analyses showed that the composite ESG score is positively correlated with market capitalization, which means that companies with better ESG disclosure are more likely to have high market valuations. This observation lends credence to the emerging debate on corporate sustainability literature to the effect that ESG initiatives facilitate long-term value creation through enhancing the level of transparency, minimizing operational risks, and enhancing stakeholder confidence.</w:t>
      </w:r>
    </w:p>
    <w:p w14:paraId="5C6564AD" w14:textId="77777777" w:rsidR="00DE74E8" w:rsidRPr="00DE74E8" w:rsidRDefault="00DE74E8" w:rsidP="00DE74E8">
      <w:r w:rsidRPr="00DE74E8">
        <w:t xml:space="preserve">The positive correlation between the ESG disclosure and firm value is explicable in a number of theoretical perspectives. The stakeholder perspective of environmental, social, and governance issues shows that companies that are active in their pursuit of environmental, social, and governance issues tend to have a better relationship with the major stakeholders such as the investors, the employees, the regulators, and the communities. Such relationships boost corporate reputation and legitimacy that are ultimately converted to better firm performance and valuation (Freeman, 1984; Donaldson and Preston, 1995). In the same way, </w:t>
      </w:r>
      <w:proofErr w:type="spellStart"/>
      <w:r w:rsidRPr="00DE74E8">
        <w:t>signaling</w:t>
      </w:r>
      <w:proofErr w:type="spellEnd"/>
      <w:r w:rsidRPr="00DE74E8">
        <w:t xml:space="preserve"> theory suggests that when companies share information about their environmental, social, and governance practices, it shows they are responsible and capable managers, helping to reduce the gap in information between the companies and When companies voluntarily report on their sustainability practices, companies convey their strategic orientation over the long term and ability to manage risks in the market. Such disclosures make investors view these firms as more sustainable and resilient, which is positively reflected in their market valuation.</w:t>
      </w:r>
    </w:p>
    <w:p w14:paraId="38D436EF" w14:textId="77777777" w:rsidR="00DE74E8" w:rsidRPr="00DE74E8" w:rsidRDefault="00DE74E8" w:rsidP="00DE74E8">
      <w:r w:rsidRPr="00DE74E8">
        <w:lastRenderedPageBreak/>
        <w:t>Empirical literature has also significantly supported the positive ESG-performance relationship. To illustrate, Friede, Busch, and Bassen (2015) have performed a meta-analysis of more than 2,000 studies, showing that most studies have determined that there is a positive relationship between the performance of a company concerning its financial performance and the ESG performance. On the same note, Whelan, Atz, Van Holt, and Clark (2021) noted that a high percentage of empirical studies have indicated a positive association between sustainability practices and financial performance, especially in the aspect of risk management and reduction of cost of capital. These studies posit that the ESG initiatives contribute to the improvement of firm value as they increase the efficiency of operations and corporate reputation and mitigate exposure to regulatory and environmental risk. These results can be supported by the findings of the current study, which indicate that companies listed on the NSE are also taking advantage of the ESG to boost investor confidence and consequently firm value.</w:t>
      </w:r>
    </w:p>
    <w:p w14:paraId="74A33ABA" w14:textId="77777777" w:rsidR="000159DD" w:rsidRDefault="000159DD">
      <w:pPr>
        <w:spacing w:before="0" w:after="160" w:line="259" w:lineRule="auto"/>
        <w:jc w:val="left"/>
        <w:rPr>
          <w:rFonts w:eastAsiaTheme="majorEastAsia" w:cstheme="majorBidi"/>
          <w:b/>
          <w:szCs w:val="40"/>
        </w:rPr>
      </w:pPr>
      <w:r>
        <w:br w:type="page"/>
      </w:r>
    </w:p>
    <w:p w14:paraId="5C1967BD" w14:textId="3EF914E4" w:rsidR="00CF667B" w:rsidRDefault="00DE74E8" w:rsidP="000159DD">
      <w:pPr>
        <w:pStyle w:val="Heading1"/>
      </w:pPr>
      <w:bookmarkStart w:id="58" w:name="_Toc224408923"/>
      <w:r>
        <w:lastRenderedPageBreak/>
        <w:t>Chapter Six: Conclusion</w:t>
      </w:r>
      <w:bookmarkEnd w:id="58"/>
    </w:p>
    <w:p w14:paraId="661AEA78" w14:textId="0B068EDB" w:rsidR="000159DD" w:rsidRDefault="00470124" w:rsidP="000159DD">
      <w:r w:rsidRPr="00470124">
        <w:rPr>
          <w:noProof/>
        </w:rPr>
        <w:drawing>
          <wp:inline distT="0" distB="0" distL="0" distR="0" wp14:anchorId="47C9FDC9" wp14:editId="31CA4F7D">
            <wp:extent cx="5731510" cy="944245"/>
            <wp:effectExtent l="0" t="0" r="2540" b="8255"/>
            <wp:docPr id="2000012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012202" name=""/>
                    <pic:cNvPicPr/>
                  </pic:nvPicPr>
                  <pic:blipFill>
                    <a:blip r:embed="rId18"/>
                    <a:stretch>
                      <a:fillRect/>
                    </a:stretch>
                  </pic:blipFill>
                  <pic:spPr>
                    <a:xfrm>
                      <a:off x="0" y="0"/>
                      <a:ext cx="5731510" cy="944245"/>
                    </a:xfrm>
                    <a:prstGeom prst="rect">
                      <a:avLst/>
                    </a:prstGeom>
                  </pic:spPr>
                </pic:pic>
              </a:graphicData>
            </a:graphic>
          </wp:inline>
        </w:drawing>
      </w:r>
    </w:p>
    <w:p w14:paraId="3166D690" w14:textId="3A7E1EAF" w:rsidR="00DB7659" w:rsidRDefault="00092FEC" w:rsidP="007A2EBB">
      <w:pPr>
        <w:pStyle w:val="Heading2"/>
      </w:pPr>
      <w:bookmarkStart w:id="59" w:name="_Toc224408924"/>
      <w:r>
        <w:t>6</w:t>
      </w:r>
      <w:r w:rsidR="007A2EBB">
        <w:t>.1 Summary of the Research</w:t>
      </w:r>
      <w:bookmarkEnd w:id="59"/>
      <w:r w:rsidR="007A2EBB">
        <w:t xml:space="preserve"> </w:t>
      </w:r>
    </w:p>
    <w:p w14:paraId="209DE1DE" w14:textId="77777777" w:rsidR="00470124" w:rsidRPr="00470124" w:rsidRDefault="00470124" w:rsidP="00470124">
      <w:r w:rsidRPr="00470124">
        <w:t>This study examined the effect of ESG reporting on the market value of companies listed on the Nairobi Securities Exchange (NSE). The research was motivated by the increasing global prominence of sustainability reporting and the growing recognition of how non-financial disclosures may influence investor decision-making and corporate valuation. Despite the rising adoption of ESG practices in business environments, limited empirical evidence exists on the relationship between ESG disclosure and firm value in emerging economies such as Kenya. Accordingly, the study sought to provide empirical insights into whether sustainability reporting contributes to enhanced firm value among NSE-listed firms.</w:t>
      </w:r>
    </w:p>
    <w:p w14:paraId="63EEC1C9" w14:textId="77777777" w:rsidR="00470124" w:rsidRPr="00470124" w:rsidRDefault="00470124" w:rsidP="00470124">
      <w:r w:rsidRPr="00470124">
        <w:t>The overall objective of the study was to determine the influence of ESG reporting on the market value of NSE-listed companies. This objective was operationalised through three specific objectives: to assess the effect of environmental reporting on firm value, to examine the impact of social reporting on firm value, and to evaluate the influence of governance reporting on firm value. These objectives were informed by the increasing emphasis on corporate sustainability practices and the need to understand how ESG dimensions affect firm valuation within emerging capital markets.</w:t>
      </w:r>
    </w:p>
    <w:p w14:paraId="0CA78FB0" w14:textId="50E6DBC3" w:rsidR="007A2EBB" w:rsidRPr="007A2EBB" w:rsidRDefault="00470124" w:rsidP="007A2EBB">
      <w:r w:rsidRPr="00470124">
        <w:t>The study adopted a qualitative approach grounded in a post-positivist research philosophy. A descriptive research design was employed to analyse the relationship between ESG reporting and firm value. Secondary data were utilised, with ESG-related information extracted from the annual reports of NSE-listed firms, while market capitalisation data were obtained from relevant financial databases. The study covered a three-year period from 2022 to 2024 and focused on firms with available annual reports within this timeframe</w:t>
      </w:r>
      <w:r w:rsidR="007A2EBB" w:rsidRPr="007A2EBB">
        <w:t>.</w:t>
      </w:r>
    </w:p>
    <w:p w14:paraId="480566DE" w14:textId="7700F861" w:rsidR="007A2EBB" w:rsidRPr="007A2EBB" w:rsidRDefault="00092FEC" w:rsidP="00E90EF0">
      <w:pPr>
        <w:pStyle w:val="Heading2"/>
      </w:pPr>
      <w:bookmarkStart w:id="60" w:name="_Toc224408925"/>
      <w:r>
        <w:t>6</w:t>
      </w:r>
      <w:r w:rsidR="007A2EBB">
        <w:t xml:space="preserve">.2 </w:t>
      </w:r>
      <w:r w:rsidR="00E90EF0">
        <w:t xml:space="preserve">Research </w:t>
      </w:r>
      <w:bookmarkEnd w:id="60"/>
      <w:r w:rsidR="001014C3">
        <w:t>Conclusions</w:t>
      </w:r>
    </w:p>
    <w:p w14:paraId="277D21C3" w14:textId="6D7269A8" w:rsidR="00092FEC" w:rsidRDefault="00092FEC" w:rsidP="00092FEC">
      <w:pPr>
        <w:pStyle w:val="Heading3"/>
      </w:pPr>
      <w:bookmarkStart w:id="61" w:name="_Toc224408926"/>
      <w:r w:rsidRPr="00092FEC">
        <w:t>6.3.1 Environmental Reporting and Firm Value</w:t>
      </w:r>
      <w:r>
        <w:t xml:space="preserve"> of Companies listed at NSE</w:t>
      </w:r>
      <w:bookmarkEnd w:id="61"/>
    </w:p>
    <w:p w14:paraId="28C19E08" w14:textId="732ECB7F" w:rsidR="00092FEC" w:rsidRDefault="00092FEC" w:rsidP="00092FEC">
      <w:r>
        <w:t>The first</w:t>
      </w:r>
      <w:r w:rsidR="00D5260A" w:rsidRPr="00D5260A">
        <w:rPr>
          <w:color w:val="FFFFFF" w:themeColor="background1"/>
        </w:rPr>
        <w:t>5</w:t>
      </w:r>
      <w:r>
        <w:t>objective was to determine the impact of the environmental</w:t>
      </w:r>
      <w:r w:rsidR="00D5260A" w:rsidRPr="00D5260A">
        <w:rPr>
          <w:color w:val="FFFFFF" w:themeColor="background1"/>
        </w:rPr>
        <w:t>5</w:t>
      </w:r>
      <w:r>
        <w:t>reporting on the market value</w:t>
      </w:r>
      <w:r w:rsidR="00D5260A" w:rsidRPr="00D5260A">
        <w:rPr>
          <w:color w:val="FFFFFF" w:themeColor="background1"/>
        </w:rPr>
        <w:t>5</w:t>
      </w:r>
      <w:r>
        <w:t>of the firms listed</w:t>
      </w:r>
      <w:r w:rsidR="00D5260A" w:rsidRPr="00D5260A">
        <w:rPr>
          <w:color w:val="FFFFFF" w:themeColor="background1"/>
        </w:rPr>
        <w:t>5</w:t>
      </w:r>
      <w:r>
        <w:t>on the</w:t>
      </w:r>
      <w:r w:rsidR="00D5260A" w:rsidRPr="00D5260A">
        <w:rPr>
          <w:color w:val="FFFFFF" w:themeColor="background1"/>
        </w:rPr>
        <w:t>5</w:t>
      </w:r>
      <w:r w:rsidR="001014C3">
        <w:t>NSE</w:t>
      </w:r>
      <w:r>
        <w:t xml:space="preserve">. The research concludes that the level of environmental </w:t>
      </w:r>
      <w:r>
        <w:lastRenderedPageBreak/>
        <w:t>disclosure in NSE-listed companies is mostly in the middle range, which shows that, although companies are increasingly aware of the issues of environmental sustainability, the process of providing extensive environmental performance is not administered yet. Majority of companies report on environmental policies, sustainability policies and broad environmental programs, but less companies report specific metrics which are associated with quantifiable environmental impacts like reduction in emissions, increase in energy efficiency or exposure to climate risks.</w:t>
      </w:r>
    </w:p>
    <w:p w14:paraId="05840A35" w14:textId="2FA2A2CF" w:rsidR="00092FEC" w:rsidRDefault="00092FEC" w:rsidP="00092FEC">
      <w:r>
        <w:t>From the findings, the research concludes the impact of environmental</w:t>
      </w:r>
      <w:r w:rsidR="00D5260A" w:rsidRPr="00D5260A">
        <w:rPr>
          <w:color w:val="FFFFFF" w:themeColor="background1"/>
        </w:rPr>
        <w:t>5</w:t>
      </w:r>
      <w:r>
        <w:t>reporting on the firm market</w:t>
      </w:r>
      <w:r w:rsidR="00D5260A" w:rsidRPr="00D5260A">
        <w:rPr>
          <w:color w:val="FFFFFF" w:themeColor="background1"/>
        </w:rPr>
        <w:t>5</w:t>
      </w:r>
      <w:r>
        <w:t>value</w:t>
      </w:r>
      <w:r w:rsidR="00D5260A" w:rsidRPr="00D5260A">
        <w:rPr>
          <w:color w:val="FFFFFF" w:themeColor="background1"/>
        </w:rPr>
        <w:t>5</w:t>
      </w:r>
      <w:r>
        <w:t>is positive and moderate. Therefore, the level of environmental sustainability practices by the listed firms in the NSE are still in the development stage and that most firms are boosting their efforts in policy-level reporting instead of complete environmental performance reporting. With the ongoing increasing demands on regulatory levels of sustainability and global levels, the environmental disclosure will probably be more comprehensive and have a bigger effect on the value of firms.</w:t>
      </w:r>
    </w:p>
    <w:p w14:paraId="2C5643B7" w14:textId="31AB5B2B" w:rsidR="00092FEC" w:rsidRDefault="00092FEC" w:rsidP="00092FEC">
      <w:pPr>
        <w:pStyle w:val="Heading3"/>
      </w:pPr>
      <w:bookmarkStart w:id="62" w:name="_Toc224408927"/>
      <w:r>
        <w:t>6.3.2 Social Reporting and Firm Value of Companies listed at NSE</w:t>
      </w:r>
      <w:bookmarkEnd w:id="62"/>
    </w:p>
    <w:p w14:paraId="6C412400" w14:textId="6896F560" w:rsidR="00D278ED" w:rsidRDefault="00D278ED" w:rsidP="00D278ED">
      <w:r>
        <w:t>The second</w:t>
      </w:r>
      <w:r w:rsidR="00D5260A" w:rsidRPr="00D5260A">
        <w:rPr>
          <w:color w:val="FFFFFF" w:themeColor="background1"/>
        </w:rPr>
        <w:t>5</w:t>
      </w:r>
      <w:r>
        <w:t>research objective was to investigate the impact of social</w:t>
      </w:r>
      <w:r w:rsidR="00D5260A" w:rsidRPr="00D5260A">
        <w:rPr>
          <w:color w:val="FFFFFF" w:themeColor="background1"/>
        </w:rPr>
        <w:t>5</w:t>
      </w:r>
      <w:r>
        <w:t>reporting on the firm value.</w:t>
      </w:r>
      <w:r w:rsidR="00D5260A" w:rsidRPr="00D5260A">
        <w:rPr>
          <w:color w:val="FFFFFF" w:themeColor="background1"/>
        </w:rPr>
        <w:t>5</w:t>
      </w:r>
      <w:r>
        <w:t xml:space="preserve">The research concludes that social disclosure of NSE-listed companies is comparatively high to the environmental disclosure. Most companies have a high level of reporting on social responsibility initiatives such as </w:t>
      </w:r>
      <w:r w:rsidR="00D5260A">
        <w:t>CSR</w:t>
      </w:r>
      <w:r>
        <w:t xml:space="preserve"> programmes, employee welfare policies, community development projects and financial inclusion initiatives. Such disclosures reflect the attempts of the firms to respond to the social expectations and ensure a good relationship with stakeholders.</w:t>
      </w:r>
    </w:p>
    <w:p w14:paraId="61524FC4" w14:textId="603BEF06" w:rsidR="00092FEC" w:rsidRDefault="00D278ED" w:rsidP="00D278ED">
      <w:r>
        <w:t>From the findings, social reporting positively affects firm value implying that companies that undertake social</w:t>
      </w:r>
      <w:r w:rsidR="00D5260A" w:rsidRPr="00D5260A">
        <w:rPr>
          <w:color w:val="FFFFFF" w:themeColor="background1"/>
        </w:rPr>
        <w:t>5</w:t>
      </w:r>
      <w:r>
        <w:t>responsibility initiatives are more likely to build their reputation and legitimacy with the stakeholders. The social activities like employee development, interaction with the community, and funding of social programmes make corporations have a good image and earn the trust of their stakeholders. In turn, the activities can lead to the enhanced investor confidence and corporate credibility, which can subsequently impact on the market valuation positively.</w:t>
      </w:r>
    </w:p>
    <w:p w14:paraId="296599AB" w14:textId="77777777" w:rsidR="00D278ED" w:rsidRDefault="00D278ED" w:rsidP="00D278ED">
      <w:pPr>
        <w:pStyle w:val="Heading3"/>
      </w:pPr>
      <w:bookmarkStart w:id="63" w:name="_Toc224408928"/>
      <w:r>
        <w:t>6.3.3 Governance Reporting and Firm Value of Companies listed at NSE</w:t>
      </w:r>
      <w:bookmarkEnd w:id="63"/>
    </w:p>
    <w:p w14:paraId="316BA590" w14:textId="0A67BAEC" w:rsidR="00D278ED" w:rsidRDefault="00D278ED" w:rsidP="00D278ED">
      <w:r>
        <w:t>The third</w:t>
      </w:r>
      <w:r w:rsidR="002813FD" w:rsidRPr="002813FD">
        <w:rPr>
          <w:color w:val="FFFFFF" w:themeColor="background1"/>
        </w:rPr>
        <w:t>5</w:t>
      </w:r>
      <w:r>
        <w:t>objective of</w:t>
      </w:r>
      <w:r w:rsidR="002813FD" w:rsidRPr="002813FD">
        <w:rPr>
          <w:color w:val="FFFFFF" w:themeColor="background1"/>
        </w:rPr>
        <w:t>5</w:t>
      </w:r>
      <w:r>
        <w:t>the research was to establish the</w:t>
      </w:r>
      <w:r w:rsidR="002813FD" w:rsidRPr="002813FD">
        <w:rPr>
          <w:color w:val="FFFFFF" w:themeColor="background1"/>
        </w:rPr>
        <w:t>5</w:t>
      </w:r>
      <w:r>
        <w:t>effect of governance reporting on firm value. The research concludes that governance</w:t>
      </w:r>
      <w:r w:rsidR="002813FD" w:rsidRPr="002813FD">
        <w:rPr>
          <w:color w:val="FFFFFF" w:themeColor="background1"/>
        </w:rPr>
        <w:t>5</w:t>
      </w:r>
      <w:r>
        <w:t xml:space="preserve">disclosure is the most powerful ESG aspect of </w:t>
      </w:r>
      <w:r>
        <w:lastRenderedPageBreak/>
        <w:t>the companies</w:t>
      </w:r>
      <w:r w:rsidR="002813FD" w:rsidRPr="002813FD">
        <w:rPr>
          <w:color w:val="FFFFFF" w:themeColor="background1"/>
        </w:rPr>
        <w:t>5</w:t>
      </w:r>
      <w:r>
        <w:t xml:space="preserve">listed </w:t>
      </w:r>
      <w:r w:rsidR="002813FD">
        <w:t>in</w:t>
      </w:r>
      <w:r w:rsidR="002813FD" w:rsidRPr="002813FD">
        <w:rPr>
          <w:color w:val="FFFFFF" w:themeColor="background1"/>
        </w:rPr>
        <w:t>5</w:t>
      </w:r>
      <w:r w:rsidR="002813FD">
        <w:t>NSE</w:t>
      </w:r>
      <w:r>
        <w:t>. The major companies are also offering detailed disclosures on the board structure, audit committees, internal control policies, executive remuneration policies, and shareholder communication policies.</w:t>
      </w:r>
    </w:p>
    <w:p w14:paraId="0499CD56" w14:textId="34819469" w:rsidR="00D278ED" w:rsidRDefault="00D278ED" w:rsidP="00D278ED">
      <w:r>
        <w:t>The study concludes that the excessive focus on the reporting of governance can be explained by regulation provisions, the adoption of codes</w:t>
      </w:r>
      <w:r w:rsidR="002813FD" w:rsidRPr="002813FD">
        <w:rPr>
          <w:color w:val="FFFFFF" w:themeColor="background1"/>
        </w:rPr>
        <w:t>5</w:t>
      </w:r>
      <w:r>
        <w:t>of corporate</w:t>
      </w:r>
      <w:r w:rsidR="002813FD" w:rsidRPr="002813FD">
        <w:rPr>
          <w:color w:val="FFFFFF" w:themeColor="background1"/>
        </w:rPr>
        <w:t>5</w:t>
      </w:r>
      <w:r>
        <w:t>governance, and adherence to the guidelines set by the Capital Markets Authority (CMA). These regulation systems demand transparency and accountability in governance structures of listed companies to high levels. Consequently, governance disclosure is fundamentally important in intensifying investor confidence, lessening agency conflicts, and raising corporate credibility in financial markets. Therefore, the research concludes that the transparency of governance is one of the determinants of firm value in the context of firms listed in NSE.</w:t>
      </w:r>
    </w:p>
    <w:p w14:paraId="1BD9C563" w14:textId="307A4476" w:rsidR="00D278ED" w:rsidRDefault="00D278ED" w:rsidP="00FA3E23">
      <w:pPr>
        <w:pStyle w:val="Heading3"/>
      </w:pPr>
      <w:bookmarkStart w:id="64" w:name="_Toc224408929"/>
      <w:r>
        <w:t xml:space="preserve">6.3.4 </w:t>
      </w:r>
      <w:r w:rsidR="00FA3E23">
        <w:t>Overall Effect of ESG on Firm Value</w:t>
      </w:r>
      <w:bookmarkEnd w:id="64"/>
    </w:p>
    <w:p w14:paraId="635C0939" w14:textId="08B56826" w:rsidR="006C6819" w:rsidRDefault="006C6819" w:rsidP="006C6819">
      <w:r>
        <w:t xml:space="preserve">Overall, the research concludes that there is positive effect of ESG reporting on the value of listed companies at the </w:t>
      </w:r>
      <w:r w:rsidR="002228C9">
        <w:t>NSE</w:t>
      </w:r>
      <w:r>
        <w:t>. The companies with more effective ESG disclosure are likely to be much more transparent and accountable, which will help them to increase investor confidence and market perception. ESG reporting helps improve corporate transparency, enhance risk management practices and investor trust all of which are significant towards influencing the valuation of firms in the capital markets.</w:t>
      </w:r>
    </w:p>
    <w:p w14:paraId="1A3B6A0C" w14:textId="4F3F0825" w:rsidR="00FA3E23" w:rsidRDefault="006C6819" w:rsidP="006C6819">
      <w:r>
        <w:t>Nevertheless, the results also indicate that the impact of the dimensions of ESG on the value of firms is not homogenous. The most significant effect seems to be caused by governance reporting through regulatory demands and attention that is paid to corporate governance in financial markets. Social disclosure is another source of positive contribution to the firm value, as it enhances corporate legitimacy and relationship with stakeholders. Conversely, environmental disclosure, though positively correlated with firm value is not as well developed since the firms are still at the initial level of incorporating their overall environmental sustainability practices in their reporting frameworks.</w:t>
      </w:r>
    </w:p>
    <w:p w14:paraId="222B0E14" w14:textId="0FDA6A53" w:rsidR="006C6819" w:rsidRDefault="005F2F6F" w:rsidP="005F2F6F">
      <w:pPr>
        <w:pStyle w:val="Heading2"/>
      </w:pPr>
      <w:bookmarkStart w:id="65" w:name="_Toc224408930"/>
      <w:r>
        <w:t>6.3 Contributions of the Study</w:t>
      </w:r>
      <w:bookmarkEnd w:id="65"/>
    </w:p>
    <w:p w14:paraId="270BD4BE" w14:textId="60147215" w:rsidR="00DF24F7" w:rsidRDefault="00DF24F7" w:rsidP="00DF24F7">
      <w:r>
        <w:t>The study</w:t>
      </w:r>
      <w:r w:rsidR="002813FD" w:rsidRPr="002813FD">
        <w:rPr>
          <w:color w:val="FFFFFF" w:themeColor="background1"/>
        </w:rPr>
        <w:t>5</w:t>
      </w:r>
      <w:r>
        <w:t>makes a</w:t>
      </w:r>
      <w:r w:rsidR="002813FD" w:rsidRPr="002813FD">
        <w:rPr>
          <w:color w:val="FFFFFF" w:themeColor="background1"/>
        </w:rPr>
        <w:t>5</w:t>
      </w:r>
      <w:r>
        <w:t>contribution</w:t>
      </w:r>
      <w:r w:rsidR="002813FD" w:rsidRPr="002813FD">
        <w:rPr>
          <w:color w:val="FFFFFF" w:themeColor="background1"/>
        </w:rPr>
        <w:t>5</w:t>
      </w:r>
      <w:r>
        <w:t>to</w:t>
      </w:r>
      <w:r w:rsidR="002813FD" w:rsidRPr="002813FD">
        <w:rPr>
          <w:color w:val="FFFFFF" w:themeColor="background1"/>
        </w:rPr>
        <w:t>5</w:t>
      </w:r>
      <w:r>
        <w:t>the extant body of literature as it gives empirical support on the association</w:t>
      </w:r>
      <w:r w:rsidR="002813FD" w:rsidRPr="002813FD">
        <w:rPr>
          <w:color w:val="FFFFFF" w:themeColor="background1"/>
        </w:rPr>
        <w:t>5</w:t>
      </w:r>
      <w:r>
        <w:t xml:space="preserve">between </w:t>
      </w:r>
      <w:r w:rsidR="002228C9">
        <w:t>ESG</w:t>
      </w:r>
      <w:r>
        <w:t xml:space="preserve"> disclosure and the value of a firm in the context of the Nairobi Securities Exchange. Although the topic of ESG reporting is well researched in industrialized economies, there is still a shortage of empirical</w:t>
      </w:r>
      <w:r w:rsidR="002813FD" w:rsidRPr="002813FD">
        <w:rPr>
          <w:color w:val="FFFFFF" w:themeColor="background1"/>
        </w:rPr>
        <w:t>5</w:t>
      </w:r>
      <w:r>
        <w:t>evidence related to the emerging</w:t>
      </w:r>
      <w:r w:rsidR="002813FD" w:rsidRPr="002813FD">
        <w:rPr>
          <w:color w:val="FFFFFF" w:themeColor="background1"/>
        </w:rPr>
        <w:t>5</w:t>
      </w:r>
      <w:r>
        <w:t xml:space="preserve">markets of Africa. The research extends the knowledge on how sustainability practices impact on </w:t>
      </w:r>
      <w:r>
        <w:lastRenderedPageBreak/>
        <w:t>corporate valuation in emerging capital markets by looking at the effect</w:t>
      </w:r>
      <w:r w:rsidR="002813FD" w:rsidRPr="002813FD">
        <w:rPr>
          <w:color w:val="FFFFFF" w:themeColor="background1"/>
        </w:rPr>
        <w:t>5</w:t>
      </w:r>
      <w:r>
        <w:t>of ESG</w:t>
      </w:r>
      <w:r w:rsidR="002813FD" w:rsidRPr="002813FD">
        <w:rPr>
          <w:color w:val="FFFFFF" w:themeColor="background1"/>
        </w:rPr>
        <w:t>5</w:t>
      </w:r>
      <w:r>
        <w:t>disclosure on the market capitalization of the firm in the NSE-listed companies. In addition, the research is a contribution to the body</w:t>
      </w:r>
      <w:r w:rsidR="002813FD" w:rsidRPr="002813FD">
        <w:rPr>
          <w:color w:val="FFFFFF" w:themeColor="background1"/>
        </w:rPr>
        <w:t>5</w:t>
      </w:r>
      <w:r>
        <w:t>of</w:t>
      </w:r>
      <w:r w:rsidR="002813FD" w:rsidRPr="002813FD">
        <w:rPr>
          <w:color w:val="FFFFFF" w:themeColor="background1"/>
        </w:rPr>
        <w:t>5</w:t>
      </w:r>
      <w:r>
        <w:t>knowledge</w:t>
      </w:r>
      <w:r w:rsidR="002813FD" w:rsidRPr="002813FD">
        <w:rPr>
          <w:color w:val="FFFFFF" w:themeColor="background1"/>
        </w:rPr>
        <w:t>5</w:t>
      </w:r>
      <w:r>
        <w:t>as it correlates ESG</w:t>
      </w:r>
      <w:r w:rsidR="002813FD" w:rsidRPr="002813FD">
        <w:rPr>
          <w:color w:val="FFFFFF" w:themeColor="background1"/>
        </w:rPr>
        <w:t>5</w:t>
      </w:r>
      <w:r>
        <w:t>disclosure with the agency theory and cost of capital theory in emerging markets. The results also give some empirical basis to the discussion that better transparency and governance practices can mitigate information asymmetry, improve investor confidence, and firm valuation.</w:t>
      </w:r>
    </w:p>
    <w:p w14:paraId="0BED4A81" w14:textId="7025F9F7" w:rsidR="00DF24F7" w:rsidRDefault="00DF24F7" w:rsidP="00DF24F7">
      <w:r>
        <w:t>The research also makes a number of practical contributions to corporate managers, investors, regulators as well as policy makers. To business managers, the results indicate that ESG reporting may become a significant contribution to an improved reputation of the corporation and investor trust. Companies that enhance their sustainability reporting policies can enhance transparency and give an indication of sound corporate governance to the shareholders, and this can have a positive effect on the share price. Managers are thus advised to inculcate ESG considerations in their reporting systems and strategic</w:t>
      </w:r>
      <w:r w:rsidR="002813FD" w:rsidRPr="002813FD">
        <w:rPr>
          <w:color w:val="FFFFFF" w:themeColor="background1"/>
        </w:rPr>
        <w:t>5</w:t>
      </w:r>
      <w:r>
        <w:t>decision-making</w:t>
      </w:r>
      <w:r w:rsidR="002813FD" w:rsidRPr="002813FD">
        <w:rPr>
          <w:color w:val="FFFFFF" w:themeColor="background1"/>
        </w:rPr>
        <w:t>5</w:t>
      </w:r>
      <w:r>
        <w:t>processes.</w:t>
      </w:r>
    </w:p>
    <w:p w14:paraId="294FE34C" w14:textId="77777777" w:rsidR="00DF24F7" w:rsidRDefault="00DF24F7" w:rsidP="00DF24F7">
      <w:r>
        <w:t>Investors may note that the results show that the ESG information is significant in the assessment of the sustainability of the firms in the long term and exposure to risks. The disclosures of ESG give information on how companies handle the environmental risks, social responsibilities, and the governance systems. Investors are thus able to incorporate ESG signs in their investment analysis so as to show the companies that have better transparency, accountability, and long-term sustainability prospects.</w:t>
      </w:r>
    </w:p>
    <w:p w14:paraId="628D5754" w14:textId="3419C1D5" w:rsidR="005F2F6F" w:rsidRDefault="00DF24F7" w:rsidP="00DF24F7">
      <w:r>
        <w:t>The regulators</w:t>
      </w:r>
      <w:r w:rsidR="002813FD" w:rsidRPr="002813FD">
        <w:rPr>
          <w:color w:val="FFFFFF" w:themeColor="background1"/>
        </w:rPr>
        <w:t>5</w:t>
      </w:r>
      <w:r>
        <w:t>and</w:t>
      </w:r>
      <w:r w:rsidR="002813FD" w:rsidRPr="002813FD">
        <w:rPr>
          <w:color w:val="FFFFFF" w:themeColor="background1"/>
        </w:rPr>
        <w:t>5</w:t>
      </w:r>
      <w:r>
        <w:t xml:space="preserve">policymakers can also apply the findings. The insights acquired in this research can be utilized by regulatory bodies like the </w:t>
      </w:r>
      <w:r w:rsidR="002813FD">
        <w:t>CMA</w:t>
      </w:r>
      <w:r>
        <w:t xml:space="preserve"> and the </w:t>
      </w:r>
      <w:r w:rsidR="002813FD">
        <w:t>NSE</w:t>
      </w:r>
      <w:r>
        <w:t xml:space="preserve"> to enhance the disclosure systems on ESG as well as promote the use of uniform framework in sustainability reporting across the listed companies. Better ESG reporting standards would improve transparency in the market, ease the decision-making process by investors, and facilitate corporate responsible behaviour in the capital market. This makes the study a source of good evidence that can be used in policy initiatives that can help enhance sustainability reporting practice in Kenya and other emerging markets.</w:t>
      </w:r>
    </w:p>
    <w:p w14:paraId="17805451" w14:textId="218ADC74" w:rsidR="00DF24F7" w:rsidRPr="005F2F6F" w:rsidRDefault="00DF24F7" w:rsidP="00DF24F7">
      <w:pPr>
        <w:pStyle w:val="Heading2"/>
      </w:pPr>
      <w:bookmarkStart w:id="66" w:name="_Toc224408931"/>
      <w:r>
        <w:t>6.4 Limitations of the Study</w:t>
      </w:r>
      <w:bookmarkEnd w:id="66"/>
      <w:r>
        <w:t xml:space="preserve"> </w:t>
      </w:r>
    </w:p>
    <w:p w14:paraId="0D96F3F1" w14:textId="566DE9C9" w:rsidR="005F2F6F" w:rsidRDefault="00DF24F7" w:rsidP="005F2F6F">
      <w:r w:rsidRPr="00DF24F7">
        <w:t>The study has a number of limitations which ought to be noted even though it has made its contribution. To begin with, the research only spans a rather limited time (2022</w:t>
      </w:r>
      <w:r w:rsidR="00BE372C">
        <w:t>-</w:t>
      </w:r>
      <w:r w:rsidRPr="00DF24F7">
        <w:t xml:space="preserve">2024) and that might prevent the ability to record long-term tendencies in ESG reporting and company value. The period of the study may be extended to give a more detailed insight on the effect that </w:t>
      </w:r>
      <w:r w:rsidRPr="00DF24F7">
        <w:lastRenderedPageBreak/>
        <w:t xml:space="preserve">sustainability practice </w:t>
      </w:r>
      <w:proofErr w:type="gramStart"/>
      <w:r w:rsidRPr="00DF24F7">
        <w:t>have</w:t>
      </w:r>
      <w:proofErr w:type="gramEnd"/>
      <w:r w:rsidRPr="00DF24F7">
        <w:t xml:space="preserve"> on corporate valuation in the long run. Second, the research employed market capitalization as a measure of the firm value, which reflects the investor perception but does not reflect the dimensions of performance of firms. Other financial performance indicators including profitability or market returns could offer more information about the relationship between ESG practises and firm performance.</w:t>
      </w:r>
    </w:p>
    <w:p w14:paraId="562E6481" w14:textId="3A1348D3" w:rsidR="00DF24F7" w:rsidRDefault="00DF24F7" w:rsidP="00DF24F7">
      <w:pPr>
        <w:pStyle w:val="Heading2"/>
      </w:pPr>
      <w:bookmarkStart w:id="67" w:name="_Toc224408932"/>
      <w:r>
        <w:t>6.5 Recommendations to Future Studies</w:t>
      </w:r>
      <w:bookmarkEnd w:id="67"/>
    </w:p>
    <w:p w14:paraId="7218CF09" w14:textId="55EE8644" w:rsidR="00DF24F7" w:rsidRPr="00DF24F7" w:rsidRDefault="00DF24F7" w:rsidP="00DF24F7">
      <w:r>
        <w:t>The results of this study can be extended into future studies in a number of ways. First, the research recommends future studies to increase time span like ten to fifteen years of data so as to know better the long-term relationship between ESG disclosure and firm value. Second, some other indicators of firm value such as Tobin Q, or stock returns</w:t>
      </w:r>
      <w:r w:rsidR="00DB7A52">
        <w:t xml:space="preserve"> can be employed</w:t>
      </w:r>
      <w:r>
        <w:t>. The application of a variety of performance indicators would help to know better how sustainability practices affect the performance of firms.</w:t>
      </w:r>
      <w:r w:rsidR="00DB7A52">
        <w:t xml:space="preserve"> </w:t>
      </w:r>
      <w:r>
        <w:t>Third, future research can take more substantial methods of ESG disclosure quality, techniques of content analysis or even ESG rating systems, which can be used to measure the quality and depth of sustainability reporting instead of just the disclosure presence.</w:t>
      </w:r>
      <w:r w:rsidR="00DB7A52">
        <w:t xml:space="preserve"> </w:t>
      </w:r>
      <w:r>
        <w:t>Lastly, future studies can perform sector-specific studies, targeting an industry including banking, manufacturing, or energy. Sector-level analysis can help to determine how the ESG practices affect the firm value dissimilarly across the industries with a different environmental and social risk profile.</w:t>
      </w:r>
    </w:p>
    <w:p w14:paraId="7967489F" w14:textId="77777777" w:rsidR="00510481" w:rsidRPr="00510481" w:rsidRDefault="00510481" w:rsidP="00510481"/>
    <w:p w14:paraId="2011A2FE" w14:textId="77777777" w:rsidR="003111E2" w:rsidRDefault="003111E2" w:rsidP="003111E2"/>
    <w:p w14:paraId="1A555A32" w14:textId="77777777" w:rsidR="003111E2" w:rsidRPr="003111E2" w:rsidRDefault="003111E2" w:rsidP="003111E2">
      <w:pPr>
        <w:ind w:left="360"/>
      </w:pPr>
    </w:p>
    <w:p w14:paraId="42B6A3BF" w14:textId="77777777" w:rsidR="00C70ADE" w:rsidRDefault="00C70ADE">
      <w:pPr>
        <w:spacing w:before="0" w:after="160" w:line="259" w:lineRule="auto"/>
        <w:jc w:val="left"/>
        <w:rPr>
          <w:rFonts w:eastAsiaTheme="majorEastAsia" w:cstheme="majorBidi"/>
          <w:b/>
          <w:szCs w:val="40"/>
        </w:rPr>
      </w:pPr>
      <w:bookmarkStart w:id="68" w:name="_Toc224408933"/>
      <w:bookmarkEnd w:id="0"/>
      <w:r>
        <w:br w:type="page"/>
      </w:r>
    </w:p>
    <w:p w14:paraId="78AF0942" w14:textId="27820997" w:rsidR="00DB7A52" w:rsidRPr="00DB7A52" w:rsidRDefault="00DB7A52" w:rsidP="00DB7A52">
      <w:pPr>
        <w:pStyle w:val="Heading1"/>
      </w:pPr>
      <w:r w:rsidRPr="00DB7A52">
        <w:lastRenderedPageBreak/>
        <w:t>References</w:t>
      </w:r>
      <w:bookmarkEnd w:id="68"/>
    </w:p>
    <w:p w14:paraId="7E16FFF2" w14:textId="77777777" w:rsidR="004D6EAC" w:rsidRPr="004D6EAC" w:rsidRDefault="004D6EAC" w:rsidP="004D6EAC">
      <w:pPr>
        <w:ind w:left="720" w:hanging="720"/>
        <w:rPr>
          <w:rFonts w:cs="Times New Roman"/>
          <w:szCs w:val="24"/>
        </w:rPr>
      </w:pPr>
      <w:r w:rsidRPr="004D6EAC">
        <w:rPr>
          <w:rFonts w:cs="Times New Roman"/>
          <w:szCs w:val="24"/>
        </w:rPr>
        <w:t xml:space="preserve">Abdi, Y., Li, X. and Camara-Turull, X. (2022) ‘Exploring the impact of sustainability (ESG) disclosure on firm value and financial performance in the airline industry: the moderating role of size and age’, </w:t>
      </w:r>
      <w:r w:rsidRPr="004D6EAC">
        <w:rPr>
          <w:rFonts w:cs="Times New Roman"/>
          <w:i/>
          <w:iCs/>
          <w:szCs w:val="24"/>
        </w:rPr>
        <w:t>Environment, Development and Sustainability</w:t>
      </w:r>
      <w:r w:rsidRPr="004D6EAC">
        <w:rPr>
          <w:rFonts w:cs="Times New Roman"/>
          <w:szCs w:val="24"/>
        </w:rPr>
        <w:t xml:space="preserve">, 24(4), pp. 5052–5079. Available at: </w:t>
      </w:r>
      <w:hyperlink r:id="rId19" w:tgtFrame="_new" w:history="1">
        <w:r w:rsidRPr="004D6EAC">
          <w:rPr>
            <w:rStyle w:val="Hyperlink"/>
            <w:rFonts w:cs="Times New Roman"/>
            <w:szCs w:val="24"/>
          </w:rPr>
          <w:t>https://doi.org/10.1007/s10668-021-01649-w</w:t>
        </w:r>
      </w:hyperlink>
    </w:p>
    <w:p w14:paraId="5365E3D2" w14:textId="77777777" w:rsidR="004D6EAC" w:rsidRPr="004D6EAC" w:rsidRDefault="004D6EAC" w:rsidP="004D6EAC">
      <w:pPr>
        <w:ind w:left="720" w:hanging="720"/>
        <w:rPr>
          <w:rFonts w:cs="Times New Roman"/>
          <w:szCs w:val="24"/>
        </w:rPr>
      </w:pPr>
      <w:r w:rsidRPr="004D6EAC">
        <w:rPr>
          <w:rFonts w:cs="Times New Roman"/>
          <w:szCs w:val="24"/>
        </w:rPr>
        <w:t xml:space="preserve">Ahmad, N., </w:t>
      </w:r>
      <w:proofErr w:type="spellStart"/>
      <w:r w:rsidRPr="004D6EAC">
        <w:rPr>
          <w:rFonts w:cs="Times New Roman"/>
          <w:szCs w:val="24"/>
        </w:rPr>
        <w:t>Mobarek</w:t>
      </w:r>
      <w:proofErr w:type="spellEnd"/>
      <w:r w:rsidRPr="004D6EAC">
        <w:rPr>
          <w:rFonts w:cs="Times New Roman"/>
          <w:szCs w:val="24"/>
        </w:rPr>
        <w:t xml:space="preserve">, A. and Roni, N.N. (2021) ‘Revisiting the impact of ESG on financial performance of FTSE350 UK firms: static and dynamic panel data analysis’, </w:t>
      </w:r>
      <w:r w:rsidRPr="004D6EAC">
        <w:rPr>
          <w:rFonts w:cs="Times New Roman"/>
          <w:i/>
          <w:iCs/>
          <w:szCs w:val="24"/>
        </w:rPr>
        <w:t>Cogent Business &amp; Management</w:t>
      </w:r>
      <w:r w:rsidRPr="004D6EAC">
        <w:rPr>
          <w:rFonts w:cs="Times New Roman"/>
          <w:szCs w:val="24"/>
        </w:rPr>
        <w:t xml:space="preserve">, 8(1), p. 1900500. Available at: </w:t>
      </w:r>
      <w:hyperlink r:id="rId20" w:tgtFrame="_new" w:history="1">
        <w:r w:rsidRPr="004D6EAC">
          <w:rPr>
            <w:rStyle w:val="Hyperlink"/>
            <w:rFonts w:cs="Times New Roman"/>
            <w:szCs w:val="24"/>
          </w:rPr>
          <w:t>https://doi.org/10.1080/23311975.2021.1900500</w:t>
        </w:r>
      </w:hyperlink>
    </w:p>
    <w:p w14:paraId="06E1C157" w14:textId="77777777" w:rsidR="004D6EAC" w:rsidRPr="004D6EAC" w:rsidRDefault="004D6EAC" w:rsidP="004D6EAC">
      <w:pPr>
        <w:ind w:left="720" w:hanging="720"/>
        <w:rPr>
          <w:rFonts w:cs="Times New Roman"/>
          <w:szCs w:val="24"/>
        </w:rPr>
      </w:pPr>
      <w:r w:rsidRPr="004D6EAC">
        <w:rPr>
          <w:rFonts w:cs="Times New Roman"/>
          <w:szCs w:val="24"/>
        </w:rPr>
        <w:t xml:space="preserve">Albuquerque, R., Durnev, A. and Koskinen, Y. (2012) </w:t>
      </w:r>
      <w:r w:rsidRPr="004D6EAC">
        <w:rPr>
          <w:rFonts w:cs="Times New Roman"/>
          <w:i/>
          <w:iCs/>
          <w:szCs w:val="24"/>
        </w:rPr>
        <w:t>Corporate social responsibility and asset pricing in industry equilibrium</w:t>
      </w:r>
      <w:r w:rsidRPr="004D6EAC">
        <w:rPr>
          <w:rFonts w:cs="Times New Roman"/>
          <w:szCs w:val="24"/>
        </w:rPr>
        <w:t xml:space="preserve"> [Working paper]. Available at: </w:t>
      </w:r>
      <w:hyperlink r:id="rId21" w:tgtFrame="_new" w:history="1">
        <w:r w:rsidRPr="004D6EAC">
          <w:rPr>
            <w:rStyle w:val="Hyperlink"/>
            <w:rFonts w:cs="Times New Roman"/>
            <w:szCs w:val="24"/>
          </w:rPr>
          <w:t>https://doi.org/10.2139/ssrn.1961971</w:t>
        </w:r>
      </w:hyperlink>
    </w:p>
    <w:p w14:paraId="1DC2D61D" w14:textId="77777777" w:rsidR="004D6EAC" w:rsidRPr="004D6EAC" w:rsidRDefault="004D6EAC" w:rsidP="004D6EAC">
      <w:pPr>
        <w:ind w:left="720" w:hanging="720"/>
        <w:rPr>
          <w:rFonts w:cs="Times New Roman"/>
          <w:szCs w:val="24"/>
        </w:rPr>
      </w:pPr>
      <w:r w:rsidRPr="004D6EAC">
        <w:rPr>
          <w:rFonts w:cs="Times New Roman"/>
          <w:szCs w:val="24"/>
        </w:rPr>
        <w:t xml:space="preserve">Albuquerque, R., Koskinen, Y. and Zhang, C. (2020) ‘Corporate social responsibility and firm risk: theory and empirical evidence’, </w:t>
      </w:r>
      <w:r w:rsidRPr="004D6EAC">
        <w:rPr>
          <w:rFonts w:cs="Times New Roman"/>
          <w:i/>
          <w:iCs/>
          <w:szCs w:val="24"/>
        </w:rPr>
        <w:t>Management Science</w:t>
      </w:r>
      <w:r w:rsidRPr="004D6EAC">
        <w:rPr>
          <w:rFonts w:cs="Times New Roman"/>
          <w:szCs w:val="24"/>
        </w:rPr>
        <w:t xml:space="preserve">, 65(10), pp. 4451–4469. Available at: </w:t>
      </w:r>
      <w:hyperlink r:id="rId22" w:tgtFrame="_new" w:history="1">
        <w:r w:rsidRPr="004D6EAC">
          <w:rPr>
            <w:rStyle w:val="Hyperlink"/>
            <w:rFonts w:cs="Times New Roman"/>
            <w:szCs w:val="24"/>
          </w:rPr>
          <w:t>https://doi.org/10.1287/mnsc.2018.3043</w:t>
        </w:r>
      </w:hyperlink>
    </w:p>
    <w:p w14:paraId="569CD027" w14:textId="77777777" w:rsidR="004D6EAC" w:rsidRPr="004D6EAC" w:rsidRDefault="004D6EAC" w:rsidP="004D6EAC">
      <w:pPr>
        <w:ind w:left="720" w:hanging="720"/>
        <w:rPr>
          <w:rFonts w:cs="Times New Roman"/>
          <w:szCs w:val="24"/>
        </w:rPr>
      </w:pPr>
      <w:proofErr w:type="spellStart"/>
      <w:r w:rsidRPr="004D6EAC">
        <w:rPr>
          <w:rFonts w:cs="Times New Roman"/>
          <w:szCs w:val="24"/>
        </w:rPr>
        <w:t>Alshehhi</w:t>
      </w:r>
      <w:proofErr w:type="spellEnd"/>
      <w:r w:rsidRPr="004D6EAC">
        <w:rPr>
          <w:rFonts w:cs="Times New Roman"/>
          <w:szCs w:val="24"/>
        </w:rPr>
        <w:t xml:space="preserve">, A., </w:t>
      </w:r>
      <w:proofErr w:type="spellStart"/>
      <w:r w:rsidRPr="004D6EAC">
        <w:rPr>
          <w:rFonts w:cs="Times New Roman"/>
          <w:szCs w:val="24"/>
        </w:rPr>
        <w:t>Nobanee</w:t>
      </w:r>
      <w:proofErr w:type="spellEnd"/>
      <w:r w:rsidRPr="004D6EAC">
        <w:rPr>
          <w:rFonts w:cs="Times New Roman"/>
          <w:szCs w:val="24"/>
        </w:rPr>
        <w:t xml:space="preserve">, H. and Khare, N. (2018) ‘The impact of sustainability practices on corporate financial performance: literature trends and future research potential’, </w:t>
      </w:r>
      <w:r w:rsidRPr="004D6EAC">
        <w:rPr>
          <w:rFonts w:cs="Times New Roman"/>
          <w:i/>
          <w:iCs/>
          <w:szCs w:val="24"/>
        </w:rPr>
        <w:t>Sustainability</w:t>
      </w:r>
      <w:r w:rsidRPr="004D6EAC">
        <w:rPr>
          <w:rFonts w:cs="Times New Roman"/>
          <w:szCs w:val="24"/>
        </w:rPr>
        <w:t xml:space="preserve">, 10(2), p. 494. Available at: </w:t>
      </w:r>
      <w:hyperlink r:id="rId23" w:tgtFrame="_new" w:history="1">
        <w:r w:rsidRPr="004D6EAC">
          <w:rPr>
            <w:rStyle w:val="Hyperlink"/>
            <w:rFonts w:cs="Times New Roman"/>
            <w:szCs w:val="24"/>
          </w:rPr>
          <w:t>https://doi.org/10.3390/su10020494</w:t>
        </w:r>
      </w:hyperlink>
    </w:p>
    <w:p w14:paraId="58EA5C28" w14:textId="77777777" w:rsidR="004D6EAC" w:rsidRPr="004D6EAC" w:rsidRDefault="004D6EAC" w:rsidP="004D6EAC">
      <w:pPr>
        <w:ind w:left="720" w:hanging="720"/>
        <w:rPr>
          <w:rFonts w:cs="Times New Roman"/>
          <w:szCs w:val="24"/>
        </w:rPr>
      </w:pPr>
      <w:r w:rsidRPr="004D6EAC">
        <w:rPr>
          <w:rFonts w:cs="Times New Roman"/>
          <w:szCs w:val="24"/>
        </w:rPr>
        <w:t xml:space="preserve">Amel-Zadeh, A. and Serafeim, G. (2018) ‘Why and how investors use ESG information: evidence from a global survey’, </w:t>
      </w:r>
      <w:r w:rsidRPr="004D6EAC">
        <w:rPr>
          <w:rFonts w:cs="Times New Roman"/>
          <w:i/>
          <w:iCs/>
          <w:szCs w:val="24"/>
        </w:rPr>
        <w:t>Financial Analysts Journal</w:t>
      </w:r>
      <w:r w:rsidRPr="004D6EAC">
        <w:rPr>
          <w:rFonts w:cs="Times New Roman"/>
          <w:szCs w:val="24"/>
        </w:rPr>
        <w:t xml:space="preserve">, 74(3), pp. 87–103. Available at: </w:t>
      </w:r>
      <w:hyperlink r:id="rId24" w:tgtFrame="_new" w:history="1">
        <w:r w:rsidRPr="004D6EAC">
          <w:rPr>
            <w:rStyle w:val="Hyperlink"/>
            <w:rFonts w:cs="Times New Roman"/>
            <w:szCs w:val="24"/>
          </w:rPr>
          <w:t>https://doi.org/10.2469/faj.v74.n3.2</w:t>
        </w:r>
      </w:hyperlink>
    </w:p>
    <w:p w14:paraId="31DE4B44" w14:textId="77777777" w:rsidR="004D6EAC" w:rsidRPr="004D6EAC" w:rsidRDefault="004D6EAC" w:rsidP="004D6EAC">
      <w:pPr>
        <w:ind w:left="720" w:hanging="720"/>
        <w:rPr>
          <w:rFonts w:cs="Times New Roman"/>
          <w:szCs w:val="24"/>
        </w:rPr>
      </w:pPr>
      <w:r w:rsidRPr="004D6EAC">
        <w:rPr>
          <w:rFonts w:cs="Times New Roman"/>
          <w:szCs w:val="24"/>
        </w:rPr>
        <w:t xml:space="preserve">Atan, R., Alam, M.M., Said, J. and Zamri, M. (2018) ‘The impacts of environmental, social and governance factors on firm performance: panel study of Malaysian companies’, </w:t>
      </w:r>
      <w:r w:rsidRPr="004D6EAC">
        <w:rPr>
          <w:rFonts w:cs="Times New Roman"/>
          <w:i/>
          <w:iCs/>
          <w:szCs w:val="24"/>
        </w:rPr>
        <w:t>Management of Environmental Quality: An International Journal</w:t>
      </w:r>
      <w:r w:rsidRPr="004D6EAC">
        <w:rPr>
          <w:rFonts w:cs="Times New Roman"/>
          <w:szCs w:val="24"/>
        </w:rPr>
        <w:t xml:space="preserve">, 29(2), pp. 182–194. Available at: </w:t>
      </w:r>
      <w:hyperlink r:id="rId25" w:tgtFrame="_new" w:history="1">
        <w:r w:rsidRPr="004D6EAC">
          <w:rPr>
            <w:rStyle w:val="Hyperlink"/>
            <w:rFonts w:cs="Times New Roman"/>
            <w:szCs w:val="24"/>
          </w:rPr>
          <w:t>https://doi.org/10.1108/MEQ-03-2017-0033</w:t>
        </w:r>
      </w:hyperlink>
    </w:p>
    <w:p w14:paraId="37FA3649" w14:textId="77777777" w:rsidR="004D6EAC" w:rsidRPr="004D6EAC" w:rsidRDefault="004D6EAC" w:rsidP="004D6EAC">
      <w:pPr>
        <w:ind w:left="720" w:hanging="720"/>
        <w:rPr>
          <w:rFonts w:cs="Times New Roman"/>
          <w:szCs w:val="24"/>
        </w:rPr>
      </w:pPr>
      <w:r w:rsidRPr="004D6EAC">
        <w:rPr>
          <w:rFonts w:cs="Times New Roman"/>
          <w:szCs w:val="24"/>
        </w:rPr>
        <w:t xml:space="preserve">Aydogmus, M., Gulay, G. and Ergun, K. (2022) ‘Impact of ESG performance on firm value and profitability’, </w:t>
      </w:r>
      <w:r w:rsidRPr="004D6EAC">
        <w:rPr>
          <w:rFonts w:cs="Times New Roman"/>
          <w:i/>
          <w:iCs/>
          <w:szCs w:val="24"/>
        </w:rPr>
        <w:t>Borsa Istanbul Review</w:t>
      </w:r>
      <w:r w:rsidRPr="004D6EAC">
        <w:rPr>
          <w:rFonts w:cs="Times New Roman"/>
          <w:szCs w:val="24"/>
        </w:rPr>
        <w:t xml:space="preserve">, 22(2), pp. 119–127. Available at: </w:t>
      </w:r>
      <w:hyperlink r:id="rId26" w:tgtFrame="_new" w:history="1">
        <w:r w:rsidRPr="004D6EAC">
          <w:rPr>
            <w:rStyle w:val="Hyperlink"/>
            <w:rFonts w:cs="Times New Roman"/>
            <w:szCs w:val="24"/>
          </w:rPr>
          <w:t>https://doi.org/10.1016/j.bir.2022.11.006</w:t>
        </w:r>
      </w:hyperlink>
    </w:p>
    <w:p w14:paraId="15016C68" w14:textId="77777777" w:rsidR="004D6EAC" w:rsidRPr="004D6EAC" w:rsidRDefault="004D6EAC" w:rsidP="004D6EAC">
      <w:pPr>
        <w:ind w:left="720" w:hanging="720"/>
        <w:rPr>
          <w:rFonts w:cs="Times New Roman"/>
          <w:szCs w:val="24"/>
        </w:rPr>
      </w:pPr>
      <w:r w:rsidRPr="004D6EAC">
        <w:rPr>
          <w:rFonts w:cs="Times New Roman"/>
          <w:szCs w:val="24"/>
        </w:rPr>
        <w:t xml:space="preserve">Barnea, A. and Rubin, A. (2010) ‘Corporate social responsibility as a conflict between shareholders’, </w:t>
      </w:r>
      <w:r w:rsidRPr="004D6EAC">
        <w:rPr>
          <w:rFonts w:cs="Times New Roman"/>
          <w:i/>
          <w:iCs/>
          <w:szCs w:val="24"/>
        </w:rPr>
        <w:t>Journal of Business Ethics</w:t>
      </w:r>
      <w:r w:rsidRPr="004D6EAC">
        <w:rPr>
          <w:rFonts w:cs="Times New Roman"/>
          <w:szCs w:val="24"/>
        </w:rPr>
        <w:t xml:space="preserve">, 97(1), pp. 71–86. Available at: </w:t>
      </w:r>
      <w:hyperlink r:id="rId27" w:tgtFrame="_new" w:history="1">
        <w:r w:rsidRPr="004D6EAC">
          <w:rPr>
            <w:rStyle w:val="Hyperlink"/>
            <w:rFonts w:cs="Times New Roman"/>
            <w:szCs w:val="24"/>
          </w:rPr>
          <w:t>https://doi.org/10.1007/s10551-010-0496-z</w:t>
        </w:r>
      </w:hyperlink>
    </w:p>
    <w:p w14:paraId="72A89C1B" w14:textId="77777777" w:rsidR="004D6EAC" w:rsidRPr="004D6EAC" w:rsidRDefault="004D6EAC" w:rsidP="004D6EAC">
      <w:pPr>
        <w:ind w:left="720" w:hanging="720"/>
        <w:rPr>
          <w:rFonts w:cs="Times New Roman"/>
          <w:szCs w:val="24"/>
        </w:rPr>
      </w:pPr>
      <w:r w:rsidRPr="004D6EAC">
        <w:rPr>
          <w:rFonts w:cs="Times New Roman"/>
          <w:szCs w:val="24"/>
        </w:rPr>
        <w:lastRenderedPageBreak/>
        <w:t xml:space="preserve">Bennett, B., Stulz, R. and Wang, Z. (2020) ‘Does the stock market make firms more productive? Evidence from mergers and acquisitions’, </w:t>
      </w:r>
      <w:r w:rsidRPr="004D6EAC">
        <w:rPr>
          <w:rFonts w:cs="Times New Roman"/>
          <w:i/>
          <w:iCs/>
          <w:szCs w:val="24"/>
        </w:rPr>
        <w:t>Journal of Financial Economics</w:t>
      </w:r>
      <w:r w:rsidRPr="004D6EAC">
        <w:rPr>
          <w:rFonts w:cs="Times New Roman"/>
          <w:szCs w:val="24"/>
        </w:rPr>
        <w:t xml:space="preserve">, 136(2), pp. 281–306. Available at: </w:t>
      </w:r>
      <w:hyperlink r:id="rId28" w:tgtFrame="_new" w:history="1">
        <w:r w:rsidRPr="004D6EAC">
          <w:rPr>
            <w:rStyle w:val="Hyperlink"/>
            <w:rFonts w:cs="Times New Roman"/>
            <w:szCs w:val="24"/>
          </w:rPr>
          <w:t>https://doi.org/10.1016/j.jfineco.2019.10.006</w:t>
        </w:r>
      </w:hyperlink>
    </w:p>
    <w:p w14:paraId="4979BF34" w14:textId="77777777" w:rsidR="004D6EAC" w:rsidRPr="004D6EAC" w:rsidRDefault="004D6EAC" w:rsidP="004D6EAC">
      <w:pPr>
        <w:ind w:left="720" w:hanging="720"/>
        <w:rPr>
          <w:rFonts w:cs="Times New Roman"/>
          <w:szCs w:val="24"/>
        </w:rPr>
      </w:pPr>
      <w:r w:rsidRPr="004D6EAC">
        <w:rPr>
          <w:rFonts w:cs="Times New Roman"/>
          <w:szCs w:val="24"/>
        </w:rPr>
        <w:t xml:space="preserve">Bhagat, S. and Bolton, B. (2008) ‘Corporate governance and firm performance’, </w:t>
      </w:r>
      <w:r w:rsidRPr="004D6EAC">
        <w:rPr>
          <w:rFonts w:cs="Times New Roman"/>
          <w:i/>
          <w:iCs/>
          <w:szCs w:val="24"/>
        </w:rPr>
        <w:t>Journal of Corporate Finance</w:t>
      </w:r>
      <w:r w:rsidRPr="004D6EAC">
        <w:rPr>
          <w:rFonts w:cs="Times New Roman"/>
          <w:szCs w:val="24"/>
        </w:rPr>
        <w:t xml:space="preserve">, 14(3), pp. 257–273. Available at: </w:t>
      </w:r>
      <w:hyperlink r:id="rId29" w:tgtFrame="_new" w:history="1">
        <w:r w:rsidRPr="004D6EAC">
          <w:rPr>
            <w:rStyle w:val="Hyperlink"/>
            <w:rFonts w:cs="Times New Roman"/>
            <w:szCs w:val="24"/>
          </w:rPr>
          <w:t>https://doi.org/10.1016/j.jcorpfin.2008.02.001</w:t>
        </w:r>
      </w:hyperlink>
    </w:p>
    <w:p w14:paraId="5EA9106B" w14:textId="77777777" w:rsidR="004D6EAC" w:rsidRPr="004D6EAC" w:rsidRDefault="004D6EAC" w:rsidP="004D6EAC">
      <w:pPr>
        <w:ind w:left="720" w:hanging="720"/>
        <w:rPr>
          <w:rFonts w:cs="Times New Roman"/>
          <w:szCs w:val="24"/>
        </w:rPr>
      </w:pPr>
      <w:r w:rsidRPr="004D6EAC">
        <w:rPr>
          <w:rFonts w:cs="Times New Roman"/>
          <w:szCs w:val="24"/>
        </w:rPr>
        <w:t xml:space="preserve">Biju, A., Thomas, J. and Tiwari, M. (2025) ‘ESG–firm performance nexus: evidence from an emerging economy’, </w:t>
      </w:r>
      <w:r w:rsidRPr="004D6EAC">
        <w:rPr>
          <w:rFonts w:cs="Times New Roman"/>
          <w:i/>
          <w:iCs/>
          <w:szCs w:val="24"/>
        </w:rPr>
        <w:t>Business Strategy and the Environment</w:t>
      </w:r>
      <w:r w:rsidRPr="004D6EAC">
        <w:rPr>
          <w:rFonts w:cs="Times New Roman"/>
          <w:szCs w:val="24"/>
        </w:rPr>
        <w:t xml:space="preserve">, 34(1), pp. 1–20. Available at: </w:t>
      </w:r>
      <w:hyperlink r:id="rId30" w:tgtFrame="_new" w:history="1">
        <w:r w:rsidRPr="004D6EAC">
          <w:rPr>
            <w:rStyle w:val="Hyperlink"/>
            <w:rFonts w:cs="Times New Roman"/>
            <w:szCs w:val="24"/>
          </w:rPr>
          <w:t>https://doi.org/10.1002/bse.4152</w:t>
        </w:r>
      </w:hyperlink>
    </w:p>
    <w:p w14:paraId="16E7D39B" w14:textId="77777777" w:rsidR="004D6EAC" w:rsidRPr="004D6EAC" w:rsidRDefault="004D6EAC" w:rsidP="004D6EAC">
      <w:pPr>
        <w:ind w:left="720" w:hanging="720"/>
        <w:rPr>
          <w:rFonts w:cs="Times New Roman"/>
          <w:szCs w:val="24"/>
        </w:rPr>
      </w:pPr>
      <w:proofErr w:type="spellStart"/>
      <w:r w:rsidRPr="004D6EAC">
        <w:rPr>
          <w:rFonts w:cs="Times New Roman"/>
          <w:szCs w:val="24"/>
        </w:rPr>
        <w:t>Boubakri</w:t>
      </w:r>
      <w:proofErr w:type="spellEnd"/>
      <w:r w:rsidRPr="004D6EAC">
        <w:rPr>
          <w:rFonts w:cs="Times New Roman"/>
          <w:szCs w:val="24"/>
        </w:rPr>
        <w:t xml:space="preserve">, N., El Ghoul, S., </w:t>
      </w:r>
      <w:proofErr w:type="spellStart"/>
      <w:r w:rsidRPr="004D6EAC">
        <w:rPr>
          <w:rFonts w:cs="Times New Roman"/>
          <w:szCs w:val="24"/>
        </w:rPr>
        <w:t>Guedhami</w:t>
      </w:r>
      <w:proofErr w:type="spellEnd"/>
      <w:r w:rsidRPr="004D6EAC">
        <w:rPr>
          <w:rFonts w:cs="Times New Roman"/>
          <w:szCs w:val="24"/>
        </w:rPr>
        <w:t xml:space="preserve">, O. and Wang, H. (2021) ‘Corporate social responsibility in emerging market economies: determinants, consequences and future research directions’, </w:t>
      </w:r>
      <w:r w:rsidRPr="004D6EAC">
        <w:rPr>
          <w:rFonts w:cs="Times New Roman"/>
          <w:i/>
          <w:iCs/>
          <w:szCs w:val="24"/>
        </w:rPr>
        <w:t>Emerging Markets Review</w:t>
      </w:r>
      <w:r w:rsidRPr="004D6EAC">
        <w:rPr>
          <w:rFonts w:cs="Times New Roman"/>
          <w:szCs w:val="24"/>
        </w:rPr>
        <w:t xml:space="preserve">, 46, p. 100796. Available at: </w:t>
      </w:r>
      <w:hyperlink r:id="rId31" w:tgtFrame="_new" w:history="1">
        <w:r w:rsidRPr="004D6EAC">
          <w:rPr>
            <w:rStyle w:val="Hyperlink"/>
            <w:rFonts w:cs="Times New Roman"/>
            <w:szCs w:val="24"/>
          </w:rPr>
          <w:t>https://doi.org/10.1016/j.ememar.2020.100796</w:t>
        </w:r>
      </w:hyperlink>
    </w:p>
    <w:p w14:paraId="56ADA904" w14:textId="77777777" w:rsidR="004D6EAC" w:rsidRPr="004D6EAC" w:rsidRDefault="004D6EAC" w:rsidP="004D6EAC">
      <w:pPr>
        <w:ind w:left="720" w:hanging="720"/>
        <w:rPr>
          <w:rFonts w:cs="Times New Roman"/>
          <w:szCs w:val="24"/>
        </w:rPr>
      </w:pPr>
      <w:r w:rsidRPr="004D6EAC">
        <w:rPr>
          <w:rFonts w:cs="Times New Roman"/>
          <w:szCs w:val="24"/>
        </w:rPr>
        <w:t xml:space="preserve">Brammer, S., Brooks, C. and </w:t>
      </w:r>
      <w:proofErr w:type="spellStart"/>
      <w:r w:rsidRPr="004D6EAC">
        <w:rPr>
          <w:rFonts w:cs="Times New Roman"/>
          <w:szCs w:val="24"/>
        </w:rPr>
        <w:t>Pavelin</w:t>
      </w:r>
      <w:proofErr w:type="spellEnd"/>
      <w:r w:rsidRPr="004D6EAC">
        <w:rPr>
          <w:rFonts w:cs="Times New Roman"/>
          <w:szCs w:val="24"/>
        </w:rPr>
        <w:t xml:space="preserve">, S. (2006) ‘Corporate social performance and stock returns: UK evidence from disaggregate measures’, </w:t>
      </w:r>
      <w:r w:rsidRPr="004D6EAC">
        <w:rPr>
          <w:rFonts w:cs="Times New Roman"/>
          <w:i/>
          <w:iCs/>
          <w:szCs w:val="24"/>
        </w:rPr>
        <w:t>Financial Management</w:t>
      </w:r>
      <w:r w:rsidRPr="004D6EAC">
        <w:rPr>
          <w:rFonts w:cs="Times New Roman"/>
          <w:szCs w:val="24"/>
        </w:rPr>
        <w:t xml:space="preserve">, 35(3), pp. 97–116. Available at: </w:t>
      </w:r>
      <w:hyperlink r:id="rId32" w:tgtFrame="_new" w:history="1">
        <w:r w:rsidRPr="004D6EAC">
          <w:rPr>
            <w:rStyle w:val="Hyperlink"/>
            <w:rFonts w:cs="Times New Roman"/>
            <w:szCs w:val="24"/>
          </w:rPr>
          <w:t>https://doi.org/10.1111/j.1755-053X.2006.tb00149.x</w:t>
        </w:r>
      </w:hyperlink>
    </w:p>
    <w:p w14:paraId="5F39D1C6" w14:textId="77777777" w:rsidR="004D6EAC" w:rsidRPr="004D6EAC" w:rsidRDefault="004D6EAC" w:rsidP="004D6EAC">
      <w:pPr>
        <w:ind w:left="720" w:hanging="720"/>
        <w:rPr>
          <w:rFonts w:cs="Times New Roman"/>
          <w:szCs w:val="24"/>
        </w:rPr>
      </w:pPr>
      <w:r w:rsidRPr="004D6EAC">
        <w:rPr>
          <w:rFonts w:cs="Times New Roman"/>
          <w:szCs w:val="24"/>
        </w:rPr>
        <w:t xml:space="preserve">Broadstock, D.C., Chan, K., Cheng, L.T.W. and Wang, X. (2021) ‘The role of ESG performance during times of financial crisis: evidence from COVID-19 in China’, </w:t>
      </w:r>
      <w:r w:rsidRPr="004D6EAC">
        <w:rPr>
          <w:rFonts w:cs="Times New Roman"/>
          <w:i/>
          <w:iCs/>
          <w:szCs w:val="24"/>
        </w:rPr>
        <w:t>Finance Research Letters</w:t>
      </w:r>
      <w:r w:rsidRPr="004D6EAC">
        <w:rPr>
          <w:rFonts w:cs="Times New Roman"/>
          <w:szCs w:val="24"/>
        </w:rPr>
        <w:t xml:space="preserve">, 38, p. 101716. Available at: </w:t>
      </w:r>
      <w:hyperlink r:id="rId33" w:tgtFrame="_new" w:history="1">
        <w:r w:rsidRPr="004D6EAC">
          <w:rPr>
            <w:rStyle w:val="Hyperlink"/>
            <w:rFonts w:cs="Times New Roman"/>
            <w:szCs w:val="24"/>
          </w:rPr>
          <w:t>https://doi.org/10.1016/j.frl.2020.101716</w:t>
        </w:r>
      </w:hyperlink>
    </w:p>
    <w:p w14:paraId="4831722B" w14:textId="77777777" w:rsidR="004D6EAC" w:rsidRPr="004D6EAC" w:rsidRDefault="004D6EAC" w:rsidP="004D6EAC">
      <w:pPr>
        <w:ind w:left="720" w:hanging="720"/>
        <w:rPr>
          <w:rFonts w:cs="Times New Roman"/>
          <w:szCs w:val="24"/>
        </w:rPr>
      </w:pPr>
      <w:proofErr w:type="spellStart"/>
      <w:r w:rsidRPr="004D6EAC">
        <w:rPr>
          <w:rFonts w:cs="Times New Roman"/>
          <w:szCs w:val="24"/>
        </w:rPr>
        <w:t>Brogi</w:t>
      </w:r>
      <w:proofErr w:type="spellEnd"/>
      <w:r w:rsidRPr="004D6EAC">
        <w:rPr>
          <w:rFonts w:cs="Times New Roman"/>
          <w:szCs w:val="24"/>
        </w:rPr>
        <w:t xml:space="preserve">, M. and </w:t>
      </w:r>
      <w:proofErr w:type="spellStart"/>
      <w:r w:rsidRPr="004D6EAC">
        <w:rPr>
          <w:rFonts w:cs="Times New Roman"/>
          <w:szCs w:val="24"/>
        </w:rPr>
        <w:t>Lagasio</w:t>
      </w:r>
      <w:proofErr w:type="spellEnd"/>
      <w:r w:rsidRPr="004D6EAC">
        <w:rPr>
          <w:rFonts w:cs="Times New Roman"/>
          <w:szCs w:val="24"/>
        </w:rPr>
        <w:t xml:space="preserve">, V. (2019) ‘Environmental, social and governance and company profitability: are financial intermediaries different?’, </w:t>
      </w:r>
      <w:r w:rsidRPr="004D6EAC">
        <w:rPr>
          <w:rFonts w:cs="Times New Roman"/>
          <w:i/>
          <w:iCs/>
          <w:szCs w:val="24"/>
        </w:rPr>
        <w:t>Corporate Social Responsibility and Environmental Management</w:t>
      </w:r>
      <w:r w:rsidRPr="004D6EAC">
        <w:rPr>
          <w:rFonts w:cs="Times New Roman"/>
          <w:szCs w:val="24"/>
        </w:rPr>
        <w:t xml:space="preserve">, 26(3), pp. 576–587. Available at: </w:t>
      </w:r>
      <w:hyperlink r:id="rId34" w:tgtFrame="_new" w:history="1">
        <w:r w:rsidRPr="004D6EAC">
          <w:rPr>
            <w:rStyle w:val="Hyperlink"/>
            <w:rFonts w:cs="Times New Roman"/>
            <w:szCs w:val="24"/>
          </w:rPr>
          <w:t>https://doi.org/10.1002/csr.1704</w:t>
        </w:r>
      </w:hyperlink>
    </w:p>
    <w:p w14:paraId="2BF5C246" w14:textId="77777777" w:rsidR="004D6EAC" w:rsidRPr="004D6EAC" w:rsidRDefault="004D6EAC" w:rsidP="004D6EAC">
      <w:pPr>
        <w:ind w:left="720" w:hanging="720"/>
        <w:rPr>
          <w:rFonts w:cs="Times New Roman"/>
          <w:szCs w:val="24"/>
        </w:rPr>
      </w:pPr>
      <w:r w:rsidRPr="004D6EAC">
        <w:rPr>
          <w:rFonts w:cs="Times New Roman"/>
          <w:szCs w:val="24"/>
        </w:rPr>
        <w:t xml:space="preserve">CEIC (2026) </w:t>
      </w:r>
      <w:r w:rsidRPr="004D6EAC">
        <w:rPr>
          <w:rFonts w:cs="Times New Roman"/>
          <w:i/>
          <w:iCs/>
          <w:szCs w:val="24"/>
        </w:rPr>
        <w:t>Kenya stock market capitalization</w:t>
      </w:r>
      <w:r w:rsidRPr="004D6EAC">
        <w:rPr>
          <w:rFonts w:cs="Times New Roman"/>
          <w:szCs w:val="24"/>
        </w:rPr>
        <w:t xml:space="preserve"> [online]. Available at: </w:t>
      </w:r>
      <w:hyperlink r:id="rId35" w:tgtFrame="_new" w:history="1">
        <w:r w:rsidRPr="004D6EAC">
          <w:rPr>
            <w:rStyle w:val="Hyperlink"/>
            <w:rFonts w:cs="Times New Roman"/>
            <w:szCs w:val="24"/>
          </w:rPr>
          <w:t>https://www.ceicdata.com/en/indicator/kenya/stock-market-capitalization</w:t>
        </w:r>
      </w:hyperlink>
    </w:p>
    <w:p w14:paraId="0E2ACB6D" w14:textId="77777777" w:rsidR="004D6EAC" w:rsidRPr="004D6EAC" w:rsidRDefault="004D6EAC" w:rsidP="004D6EAC">
      <w:pPr>
        <w:ind w:left="720" w:hanging="720"/>
        <w:rPr>
          <w:rFonts w:cs="Times New Roman"/>
          <w:szCs w:val="24"/>
        </w:rPr>
      </w:pPr>
      <w:r w:rsidRPr="004D6EAC">
        <w:rPr>
          <w:rFonts w:cs="Times New Roman"/>
          <w:szCs w:val="24"/>
        </w:rPr>
        <w:t xml:space="preserve">Cheng, R., Kim, H. and Ryu, D. (2023) ‘ESG performance and firm value in the Chinese market’, </w:t>
      </w:r>
      <w:r w:rsidRPr="004D6EAC">
        <w:rPr>
          <w:rFonts w:cs="Times New Roman"/>
          <w:i/>
          <w:iCs/>
          <w:szCs w:val="24"/>
        </w:rPr>
        <w:t>Investment Analysts Journal</w:t>
      </w:r>
      <w:r w:rsidRPr="004D6EAC">
        <w:rPr>
          <w:rFonts w:cs="Times New Roman"/>
          <w:szCs w:val="24"/>
        </w:rPr>
        <w:t xml:space="preserve">, 53(1), pp. 1–15. Available at: </w:t>
      </w:r>
      <w:hyperlink r:id="rId36" w:tgtFrame="_new" w:history="1">
        <w:r w:rsidRPr="004D6EAC">
          <w:rPr>
            <w:rStyle w:val="Hyperlink"/>
            <w:rFonts w:cs="Times New Roman"/>
            <w:szCs w:val="24"/>
          </w:rPr>
          <w:t>https://doi.org/10.1080/10293523.2023.2218124</w:t>
        </w:r>
      </w:hyperlink>
    </w:p>
    <w:p w14:paraId="1ACADFD4" w14:textId="77777777" w:rsidR="004D6EAC" w:rsidRPr="004D6EAC" w:rsidRDefault="004D6EAC" w:rsidP="004D6EAC">
      <w:pPr>
        <w:ind w:left="720" w:hanging="720"/>
        <w:rPr>
          <w:rFonts w:cs="Times New Roman"/>
          <w:szCs w:val="24"/>
        </w:rPr>
      </w:pPr>
      <w:proofErr w:type="spellStart"/>
      <w:r w:rsidRPr="004D6EAC">
        <w:rPr>
          <w:rFonts w:cs="Times New Roman"/>
          <w:szCs w:val="24"/>
        </w:rPr>
        <w:lastRenderedPageBreak/>
        <w:t>Chininga</w:t>
      </w:r>
      <w:proofErr w:type="spellEnd"/>
      <w:r w:rsidRPr="004D6EAC">
        <w:rPr>
          <w:rFonts w:cs="Times New Roman"/>
          <w:szCs w:val="24"/>
        </w:rPr>
        <w:t xml:space="preserve">, E., Alhassan, A.L. and Zeka, B. (2024) ‘ESG ratings and corporate financial performance in South Africa’, </w:t>
      </w:r>
      <w:r w:rsidRPr="004D6EAC">
        <w:rPr>
          <w:rFonts w:cs="Times New Roman"/>
          <w:i/>
          <w:iCs/>
          <w:szCs w:val="24"/>
        </w:rPr>
        <w:t>Journal of Accounting in Emerging Economies</w:t>
      </w:r>
      <w:r w:rsidRPr="004D6EAC">
        <w:rPr>
          <w:rFonts w:cs="Times New Roman"/>
          <w:szCs w:val="24"/>
        </w:rPr>
        <w:t xml:space="preserve">, 14(3), pp. 692–715. Available at: </w:t>
      </w:r>
      <w:hyperlink r:id="rId37" w:tgtFrame="_new" w:history="1">
        <w:r w:rsidRPr="004D6EAC">
          <w:rPr>
            <w:rStyle w:val="Hyperlink"/>
            <w:rFonts w:cs="Times New Roman"/>
            <w:szCs w:val="24"/>
          </w:rPr>
          <w:t>https://doi.org/10.1108/JAEE-04-2022-0107</w:t>
        </w:r>
      </w:hyperlink>
    </w:p>
    <w:p w14:paraId="73F98993" w14:textId="77777777" w:rsidR="004D6EAC" w:rsidRPr="004D6EAC" w:rsidRDefault="004D6EAC" w:rsidP="004D6EAC">
      <w:pPr>
        <w:ind w:left="720" w:hanging="720"/>
        <w:rPr>
          <w:rFonts w:cs="Times New Roman"/>
          <w:szCs w:val="24"/>
        </w:rPr>
      </w:pPr>
      <w:r w:rsidRPr="004D6EAC">
        <w:rPr>
          <w:rFonts w:cs="Times New Roman"/>
          <w:szCs w:val="24"/>
        </w:rPr>
        <w:t>Connelly, B.L., Certo, S.T., Ireland, R.D. and Reutzel, C.R. (2011) ‘</w:t>
      </w:r>
      <w:proofErr w:type="spellStart"/>
      <w:r w:rsidRPr="004D6EAC">
        <w:rPr>
          <w:rFonts w:cs="Times New Roman"/>
          <w:szCs w:val="24"/>
        </w:rPr>
        <w:t>Signaling</w:t>
      </w:r>
      <w:proofErr w:type="spellEnd"/>
      <w:r w:rsidRPr="004D6EAC">
        <w:rPr>
          <w:rFonts w:cs="Times New Roman"/>
          <w:szCs w:val="24"/>
        </w:rPr>
        <w:t xml:space="preserve"> theory: a review and assessment’, </w:t>
      </w:r>
      <w:r w:rsidRPr="004D6EAC">
        <w:rPr>
          <w:rFonts w:cs="Times New Roman"/>
          <w:i/>
          <w:iCs/>
          <w:szCs w:val="24"/>
        </w:rPr>
        <w:t>Journal of Management</w:t>
      </w:r>
      <w:r w:rsidRPr="004D6EAC">
        <w:rPr>
          <w:rFonts w:cs="Times New Roman"/>
          <w:szCs w:val="24"/>
        </w:rPr>
        <w:t xml:space="preserve">, 37(1), pp. 39–67. Available at: </w:t>
      </w:r>
      <w:hyperlink r:id="rId38" w:tgtFrame="_new" w:history="1">
        <w:r w:rsidRPr="004D6EAC">
          <w:rPr>
            <w:rStyle w:val="Hyperlink"/>
            <w:rFonts w:cs="Times New Roman"/>
            <w:szCs w:val="24"/>
          </w:rPr>
          <w:t>https://doi.org/10.1177/0149206310388419</w:t>
        </w:r>
      </w:hyperlink>
    </w:p>
    <w:p w14:paraId="471FCA22" w14:textId="77777777" w:rsidR="004D6EAC" w:rsidRPr="004D6EAC" w:rsidRDefault="004D6EAC" w:rsidP="004D6EAC">
      <w:pPr>
        <w:ind w:left="720" w:hanging="720"/>
        <w:rPr>
          <w:rFonts w:cs="Times New Roman"/>
          <w:szCs w:val="24"/>
        </w:rPr>
      </w:pPr>
      <w:r w:rsidRPr="004D6EAC">
        <w:rPr>
          <w:rFonts w:cs="Times New Roman"/>
          <w:szCs w:val="24"/>
        </w:rPr>
        <w:t xml:space="preserve">Creswell, J.W. and Creswell, J.D. (2018) </w:t>
      </w:r>
      <w:r w:rsidRPr="004D6EAC">
        <w:rPr>
          <w:rFonts w:cs="Times New Roman"/>
          <w:i/>
          <w:iCs/>
          <w:szCs w:val="24"/>
        </w:rPr>
        <w:t xml:space="preserve">Research design: qualitative, quantitative and mixed methods </w:t>
      </w:r>
      <w:proofErr w:type="gramStart"/>
      <w:r w:rsidRPr="004D6EAC">
        <w:rPr>
          <w:rFonts w:cs="Times New Roman"/>
          <w:i/>
          <w:iCs/>
          <w:szCs w:val="24"/>
        </w:rPr>
        <w:t>approaches</w:t>
      </w:r>
      <w:proofErr w:type="gramEnd"/>
      <w:r w:rsidRPr="004D6EAC">
        <w:rPr>
          <w:rFonts w:cs="Times New Roman"/>
          <w:szCs w:val="24"/>
        </w:rPr>
        <w:t xml:space="preserve">. 5th </w:t>
      </w:r>
      <w:proofErr w:type="spellStart"/>
      <w:r w:rsidRPr="004D6EAC">
        <w:rPr>
          <w:rFonts w:cs="Times New Roman"/>
          <w:szCs w:val="24"/>
        </w:rPr>
        <w:t>edn</w:t>
      </w:r>
      <w:proofErr w:type="spellEnd"/>
      <w:r w:rsidRPr="004D6EAC">
        <w:rPr>
          <w:rFonts w:cs="Times New Roman"/>
          <w:szCs w:val="24"/>
        </w:rPr>
        <w:t>. London: SAGE</w:t>
      </w:r>
    </w:p>
    <w:p w14:paraId="299A4C66" w14:textId="77777777" w:rsidR="004D6EAC" w:rsidRPr="004D6EAC" w:rsidRDefault="004D6EAC" w:rsidP="004D6EAC">
      <w:pPr>
        <w:ind w:left="720" w:hanging="720"/>
        <w:rPr>
          <w:rFonts w:cs="Times New Roman"/>
          <w:szCs w:val="24"/>
        </w:rPr>
      </w:pPr>
      <w:r w:rsidRPr="004D6EAC">
        <w:rPr>
          <w:rFonts w:cs="Times New Roman"/>
          <w:szCs w:val="24"/>
        </w:rPr>
        <w:t xml:space="preserve">Desai, R. (2024) ‘Analysing the firm value effects of environmental, social and governance disclosure: empirical study of Indian firms’, </w:t>
      </w:r>
      <w:r w:rsidRPr="004D6EAC">
        <w:rPr>
          <w:rFonts w:cs="Times New Roman"/>
          <w:i/>
          <w:iCs/>
          <w:szCs w:val="24"/>
        </w:rPr>
        <w:t>Vision: The Journal of Business Perspective</w:t>
      </w:r>
      <w:r w:rsidRPr="004D6EAC">
        <w:rPr>
          <w:rFonts w:cs="Times New Roman"/>
          <w:szCs w:val="24"/>
        </w:rPr>
        <w:t xml:space="preserve">, 28(5), pp. 1–14. Available at: </w:t>
      </w:r>
      <w:hyperlink r:id="rId39" w:tgtFrame="_new" w:history="1">
        <w:r w:rsidRPr="004D6EAC">
          <w:rPr>
            <w:rStyle w:val="Hyperlink"/>
            <w:rFonts w:cs="Times New Roman"/>
            <w:szCs w:val="24"/>
          </w:rPr>
          <w:t>https://doi.org/10.1177/09711023241264679</w:t>
        </w:r>
      </w:hyperlink>
    </w:p>
    <w:p w14:paraId="1F71BAED" w14:textId="77777777" w:rsidR="004D6EAC" w:rsidRPr="004D6EAC" w:rsidRDefault="004D6EAC" w:rsidP="004D6EAC">
      <w:pPr>
        <w:ind w:left="720" w:hanging="720"/>
        <w:rPr>
          <w:rFonts w:cs="Times New Roman"/>
          <w:szCs w:val="24"/>
        </w:rPr>
      </w:pPr>
      <w:r w:rsidRPr="004D6EAC">
        <w:rPr>
          <w:rFonts w:cs="Times New Roman"/>
          <w:szCs w:val="24"/>
        </w:rPr>
        <w:t xml:space="preserve">Diamond, D.W. and Verrecchia, R.E. (1991) ‘Disclosure, liquidity and the cost of capital’, </w:t>
      </w:r>
      <w:r w:rsidRPr="004D6EAC">
        <w:rPr>
          <w:rFonts w:cs="Times New Roman"/>
          <w:i/>
          <w:iCs/>
          <w:szCs w:val="24"/>
        </w:rPr>
        <w:t>The Journal of Finance</w:t>
      </w:r>
      <w:r w:rsidRPr="004D6EAC">
        <w:rPr>
          <w:rFonts w:cs="Times New Roman"/>
          <w:szCs w:val="24"/>
        </w:rPr>
        <w:t xml:space="preserve">, 46(4), pp. 1325–1359. Available at: </w:t>
      </w:r>
      <w:hyperlink r:id="rId40" w:tgtFrame="_new" w:history="1">
        <w:r w:rsidRPr="004D6EAC">
          <w:rPr>
            <w:rStyle w:val="Hyperlink"/>
            <w:rFonts w:cs="Times New Roman"/>
            <w:szCs w:val="24"/>
          </w:rPr>
          <w:t>https://doi.org/10.1111/j.1540-6261.1991.tb04620.x</w:t>
        </w:r>
      </w:hyperlink>
    </w:p>
    <w:p w14:paraId="691CCFB7" w14:textId="77777777" w:rsidR="004D6EAC" w:rsidRPr="004D6EAC" w:rsidRDefault="004D6EAC" w:rsidP="004D6EAC">
      <w:pPr>
        <w:ind w:left="720" w:hanging="720"/>
        <w:rPr>
          <w:rFonts w:cs="Times New Roman"/>
          <w:szCs w:val="24"/>
        </w:rPr>
      </w:pPr>
      <w:r w:rsidRPr="004D6EAC">
        <w:rPr>
          <w:rFonts w:cs="Times New Roman"/>
          <w:szCs w:val="24"/>
        </w:rPr>
        <w:t xml:space="preserve">Donaldson, T. and Preston, L.E. (1995) ‘The stakeholder theory of the corporation: concepts, evidence and implications’, </w:t>
      </w:r>
      <w:r w:rsidRPr="004D6EAC">
        <w:rPr>
          <w:rFonts w:cs="Times New Roman"/>
          <w:i/>
          <w:iCs/>
          <w:szCs w:val="24"/>
        </w:rPr>
        <w:t>Academy of Management Review</w:t>
      </w:r>
      <w:r w:rsidRPr="004D6EAC">
        <w:rPr>
          <w:rFonts w:cs="Times New Roman"/>
          <w:szCs w:val="24"/>
        </w:rPr>
        <w:t xml:space="preserve">, 20(1), pp. 65–91. Available at: </w:t>
      </w:r>
      <w:hyperlink r:id="rId41" w:tgtFrame="_new" w:history="1">
        <w:r w:rsidRPr="004D6EAC">
          <w:rPr>
            <w:rStyle w:val="Hyperlink"/>
            <w:rFonts w:cs="Times New Roman"/>
            <w:szCs w:val="24"/>
          </w:rPr>
          <w:t>https://doi.org/10.2307/258887</w:t>
        </w:r>
      </w:hyperlink>
    </w:p>
    <w:p w14:paraId="11599379" w14:textId="77777777" w:rsidR="004D6EAC" w:rsidRPr="004D6EAC" w:rsidRDefault="004D6EAC" w:rsidP="004D6EAC">
      <w:pPr>
        <w:ind w:left="720" w:hanging="720"/>
        <w:rPr>
          <w:rFonts w:cs="Times New Roman"/>
          <w:szCs w:val="24"/>
        </w:rPr>
      </w:pPr>
      <w:r w:rsidRPr="004D6EAC">
        <w:rPr>
          <w:rFonts w:cs="Times New Roman"/>
          <w:szCs w:val="24"/>
        </w:rPr>
        <w:t xml:space="preserve">Duque-Grisales, E. and Aguilera-Caracuel, J. (2021) ‘Environmental, social and governance (ESG) scores and financial performance of </w:t>
      </w:r>
      <w:proofErr w:type="spellStart"/>
      <w:r w:rsidRPr="004D6EAC">
        <w:rPr>
          <w:rFonts w:cs="Times New Roman"/>
          <w:szCs w:val="24"/>
        </w:rPr>
        <w:t>multilatinas</w:t>
      </w:r>
      <w:proofErr w:type="spellEnd"/>
      <w:r w:rsidRPr="004D6EAC">
        <w:rPr>
          <w:rFonts w:cs="Times New Roman"/>
          <w:szCs w:val="24"/>
        </w:rPr>
        <w:t xml:space="preserve">: moderating effects of geographic international diversification and financial slack’, </w:t>
      </w:r>
      <w:r w:rsidRPr="004D6EAC">
        <w:rPr>
          <w:rFonts w:cs="Times New Roman"/>
          <w:i/>
          <w:iCs/>
          <w:szCs w:val="24"/>
        </w:rPr>
        <w:t>Journal of Business Ethics</w:t>
      </w:r>
      <w:r w:rsidRPr="004D6EAC">
        <w:rPr>
          <w:rFonts w:cs="Times New Roman"/>
          <w:szCs w:val="24"/>
        </w:rPr>
        <w:t xml:space="preserve">, 168(2), pp. 315–334. Available at: </w:t>
      </w:r>
      <w:hyperlink r:id="rId42" w:tgtFrame="_new" w:history="1">
        <w:r w:rsidRPr="004D6EAC">
          <w:rPr>
            <w:rStyle w:val="Hyperlink"/>
            <w:rFonts w:cs="Times New Roman"/>
            <w:szCs w:val="24"/>
          </w:rPr>
          <w:t>https://doi.org/10.1007/s10551-019-04177-w</w:t>
        </w:r>
      </w:hyperlink>
    </w:p>
    <w:p w14:paraId="347B4354" w14:textId="77777777" w:rsidR="004D6EAC" w:rsidRPr="004D6EAC" w:rsidRDefault="004D6EAC" w:rsidP="004D6EAC">
      <w:pPr>
        <w:ind w:left="720" w:hanging="720"/>
        <w:rPr>
          <w:rFonts w:cs="Times New Roman"/>
          <w:szCs w:val="24"/>
        </w:rPr>
      </w:pPr>
      <w:r w:rsidRPr="004D6EAC">
        <w:rPr>
          <w:rFonts w:cs="Times New Roman"/>
          <w:szCs w:val="24"/>
        </w:rPr>
        <w:t xml:space="preserve">Eccles, R.G. and Klimenko, S. (2019) ‘The investor revolution’, </w:t>
      </w:r>
      <w:r w:rsidRPr="004D6EAC">
        <w:rPr>
          <w:rFonts w:cs="Times New Roman"/>
          <w:i/>
          <w:iCs/>
          <w:szCs w:val="24"/>
        </w:rPr>
        <w:t>Harvard Business Review</w:t>
      </w:r>
      <w:r w:rsidRPr="004D6EAC">
        <w:rPr>
          <w:rFonts w:cs="Times New Roman"/>
          <w:szCs w:val="24"/>
        </w:rPr>
        <w:t xml:space="preserve">, 97(3), pp. 106–116. Available at: </w:t>
      </w:r>
      <w:hyperlink r:id="rId43" w:tgtFrame="_new" w:history="1">
        <w:r w:rsidRPr="004D6EAC">
          <w:rPr>
            <w:rStyle w:val="Hyperlink"/>
            <w:rFonts w:cs="Times New Roman"/>
            <w:szCs w:val="24"/>
          </w:rPr>
          <w:t>https://hbr.org/2019/05/the-investor-revolution</w:t>
        </w:r>
      </w:hyperlink>
    </w:p>
    <w:p w14:paraId="77D2B418" w14:textId="77777777" w:rsidR="004D6EAC" w:rsidRPr="004D6EAC" w:rsidRDefault="004D6EAC" w:rsidP="004D6EAC">
      <w:pPr>
        <w:ind w:left="720" w:hanging="720"/>
        <w:rPr>
          <w:rFonts w:cs="Times New Roman"/>
          <w:szCs w:val="24"/>
        </w:rPr>
      </w:pPr>
      <w:r w:rsidRPr="004D6EAC">
        <w:rPr>
          <w:rFonts w:cs="Times New Roman"/>
          <w:szCs w:val="24"/>
        </w:rPr>
        <w:t xml:space="preserve">El Ghoul, S., </w:t>
      </w:r>
      <w:proofErr w:type="spellStart"/>
      <w:r w:rsidRPr="004D6EAC">
        <w:rPr>
          <w:rFonts w:cs="Times New Roman"/>
          <w:szCs w:val="24"/>
        </w:rPr>
        <w:t>Guedhami</w:t>
      </w:r>
      <w:proofErr w:type="spellEnd"/>
      <w:r w:rsidRPr="004D6EAC">
        <w:rPr>
          <w:rFonts w:cs="Times New Roman"/>
          <w:szCs w:val="24"/>
        </w:rPr>
        <w:t xml:space="preserve">, O., Kwok, C.C.Y. and Mishra, D.R. (2011) ‘Does corporate social responsibility affect the cost of capital?’, </w:t>
      </w:r>
      <w:r w:rsidRPr="004D6EAC">
        <w:rPr>
          <w:rFonts w:cs="Times New Roman"/>
          <w:i/>
          <w:iCs/>
          <w:szCs w:val="24"/>
        </w:rPr>
        <w:t>Journal of Banking &amp; Finance</w:t>
      </w:r>
      <w:r w:rsidRPr="004D6EAC">
        <w:rPr>
          <w:rFonts w:cs="Times New Roman"/>
          <w:szCs w:val="24"/>
        </w:rPr>
        <w:t xml:space="preserve">, 35(9), pp. 2388–2406. Available at: </w:t>
      </w:r>
      <w:hyperlink r:id="rId44" w:tgtFrame="_new" w:history="1">
        <w:r w:rsidRPr="004D6EAC">
          <w:rPr>
            <w:rStyle w:val="Hyperlink"/>
            <w:rFonts w:cs="Times New Roman"/>
            <w:szCs w:val="24"/>
          </w:rPr>
          <w:t>https://doi.org/10.1016/j.jbankfin.2011.02.007</w:t>
        </w:r>
      </w:hyperlink>
    </w:p>
    <w:p w14:paraId="695400F7" w14:textId="77777777" w:rsidR="004D6EAC" w:rsidRPr="004D6EAC" w:rsidRDefault="004D6EAC" w:rsidP="004D6EAC">
      <w:pPr>
        <w:ind w:left="720" w:hanging="720"/>
        <w:rPr>
          <w:rFonts w:cs="Times New Roman"/>
          <w:szCs w:val="24"/>
        </w:rPr>
      </w:pPr>
      <w:r w:rsidRPr="004D6EAC">
        <w:rPr>
          <w:rFonts w:cs="Times New Roman"/>
          <w:szCs w:val="24"/>
        </w:rPr>
        <w:t xml:space="preserve">Fan, H., Xu, M. and Deng, H. (2022) ‘Effects of carbon emission trading on companies’ market value: evidence from listed companies in China’, </w:t>
      </w:r>
      <w:r w:rsidRPr="004D6EAC">
        <w:rPr>
          <w:rFonts w:cs="Times New Roman"/>
          <w:i/>
          <w:iCs/>
          <w:szCs w:val="24"/>
        </w:rPr>
        <w:t>Atmosphere</w:t>
      </w:r>
      <w:r w:rsidRPr="004D6EAC">
        <w:rPr>
          <w:rFonts w:cs="Times New Roman"/>
          <w:szCs w:val="24"/>
        </w:rPr>
        <w:t xml:space="preserve">, 13(2), p. 240. Available at: </w:t>
      </w:r>
      <w:hyperlink r:id="rId45" w:tgtFrame="_new" w:history="1">
        <w:r w:rsidRPr="004D6EAC">
          <w:rPr>
            <w:rStyle w:val="Hyperlink"/>
            <w:rFonts w:cs="Times New Roman"/>
            <w:szCs w:val="24"/>
          </w:rPr>
          <w:t>https://doi.org/10.3390/atmos13020240</w:t>
        </w:r>
      </w:hyperlink>
    </w:p>
    <w:p w14:paraId="56B5F47F" w14:textId="77777777" w:rsidR="004D6EAC" w:rsidRPr="004D6EAC" w:rsidRDefault="004D6EAC" w:rsidP="004D6EAC">
      <w:pPr>
        <w:ind w:left="720" w:hanging="720"/>
        <w:rPr>
          <w:rFonts w:cs="Times New Roman"/>
          <w:szCs w:val="24"/>
        </w:rPr>
      </w:pPr>
      <w:r w:rsidRPr="004D6EAC">
        <w:rPr>
          <w:rFonts w:cs="Times New Roman"/>
          <w:szCs w:val="24"/>
        </w:rPr>
        <w:lastRenderedPageBreak/>
        <w:t xml:space="preserve">Field, A. (2018) </w:t>
      </w:r>
      <w:r w:rsidRPr="004D6EAC">
        <w:rPr>
          <w:rFonts w:cs="Times New Roman"/>
          <w:i/>
          <w:iCs/>
          <w:szCs w:val="24"/>
        </w:rPr>
        <w:t>Discovering statistics using IBM SPSS statistics</w:t>
      </w:r>
      <w:r w:rsidRPr="004D6EAC">
        <w:rPr>
          <w:rFonts w:cs="Times New Roman"/>
          <w:szCs w:val="24"/>
        </w:rPr>
        <w:t xml:space="preserve">. 5th </w:t>
      </w:r>
      <w:proofErr w:type="spellStart"/>
      <w:r w:rsidRPr="004D6EAC">
        <w:rPr>
          <w:rFonts w:cs="Times New Roman"/>
          <w:szCs w:val="24"/>
        </w:rPr>
        <w:t>edn</w:t>
      </w:r>
      <w:proofErr w:type="spellEnd"/>
      <w:r w:rsidRPr="004D6EAC">
        <w:rPr>
          <w:rFonts w:cs="Times New Roman"/>
          <w:szCs w:val="24"/>
        </w:rPr>
        <w:t>. London: SAGE</w:t>
      </w:r>
    </w:p>
    <w:p w14:paraId="1D719424" w14:textId="77777777" w:rsidR="004D6EAC" w:rsidRPr="004D6EAC" w:rsidRDefault="004D6EAC" w:rsidP="004D6EAC">
      <w:pPr>
        <w:ind w:left="720" w:hanging="720"/>
        <w:rPr>
          <w:rFonts w:cs="Times New Roman"/>
          <w:szCs w:val="24"/>
        </w:rPr>
      </w:pPr>
      <w:r w:rsidRPr="004D6EAC">
        <w:rPr>
          <w:rFonts w:cs="Times New Roman"/>
          <w:szCs w:val="24"/>
        </w:rPr>
        <w:t xml:space="preserve">Folger-Laronde, Z., </w:t>
      </w:r>
      <w:proofErr w:type="spellStart"/>
      <w:r w:rsidRPr="004D6EAC">
        <w:rPr>
          <w:rFonts w:cs="Times New Roman"/>
          <w:szCs w:val="24"/>
        </w:rPr>
        <w:t>Pashang</w:t>
      </w:r>
      <w:proofErr w:type="spellEnd"/>
      <w:r w:rsidRPr="004D6EAC">
        <w:rPr>
          <w:rFonts w:cs="Times New Roman"/>
          <w:szCs w:val="24"/>
        </w:rPr>
        <w:t xml:space="preserve">, S., </w:t>
      </w:r>
      <w:proofErr w:type="spellStart"/>
      <w:r w:rsidRPr="004D6EAC">
        <w:rPr>
          <w:rFonts w:cs="Times New Roman"/>
          <w:szCs w:val="24"/>
        </w:rPr>
        <w:t>Feor</w:t>
      </w:r>
      <w:proofErr w:type="spellEnd"/>
      <w:r w:rsidRPr="004D6EAC">
        <w:rPr>
          <w:rFonts w:cs="Times New Roman"/>
          <w:szCs w:val="24"/>
        </w:rPr>
        <w:t xml:space="preserve">, L. and </w:t>
      </w:r>
      <w:proofErr w:type="spellStart"/>
      <w:r w:rsidRPr="004D6EAC">
        <w:rPr>
          <w:rFonts w:cs="Times New Roman"/>
          <w:szCs w:val="24"/>
        </w:rPr>
        <w:t>ElAlfy</w:t>
      </w:r>
      <w:proofErr w:type="spellEnd"/>
      <w:r w:rsidRPr="004D6EAC">
        <w:rPr>
          <w:rFonts w:cs="Times New Roman"/>
          <w:szCs w:val="24"/>
        </w:rPr>
        <w:t xml:space="preserve">, A. (2022) ‘ESG ratings and financial performance of exchange-traded funds during the COVID-19 pandemic’, </w:t>
      </w:r>
      <w:r w:rsidRPr="004D6EAC">
        <w:rPr>
          <w:rFonts w:cs="Times New Roman"/>
          <w:i/>
          <w:iCs/>
          <w:szCs w:val="24"/>
        </w:rPr>
        <w:t>Journal of Sustainable Finance &amp; Investment</w:t>
      </w:r>
      <w:r w:rsidRPr="004D6EAC">
        <w:rPr>
          <w:rFonts w:cs="Times New Roman"/>
          <w:szCs w:val="24"/>
        </w:rPr>
        <w:t xml:space="preserve">, 12(2), pp. 490–496. Available at: </w:t>
      </w:r>
      <w:hyperlink r:id="rId46" w:tgtFrame="_new" w:history="1">
        <w:r w:rsidRPr="004D6EAC">
          <w:rPr>
            <w:rStyle w:val="Hyperlink"/>
            <w:rFonts w:cs="Times New Roman"/>
            <w:szCs w:val="24"/>
          </w:rPr>
          <w:t>https://doi.org/10.1080/20430795.2020.1782814</w:t>
        </w:r>
      </w:hyperlink>
    </w:p>
    <w:p w14:paraId="294CE10D" w14:textId="77777777" w:rsidR="004D6EAC" w:rsidRPr="004D6EAC" w:rsidRDefault="004D6EAC" w:rsidP="004D6EAC">
      <w:pPr>
        <w:ind w:left="720" w:hanging="720"/>
        <w:rPr>
          <w:rFonts w:cs="Times New Roman"/>
          <w:szCs w:val="24"/>
        </w:rPr>
      </w:pPr>
      <w:r w:rsidRPr="004D6EAC">
        <w:rPr>
          <w:rFonts w:cs="Times New Roman"/>
          <w:szCs w:val="24"/>
        </w:rPr>
        <w:t xml:space="preserve">Freeman, R.E. (1984) </w:t>
      </w:r>
      <w:r w:rsidRPr="004D6EAC">
        <w:rPr>
          <w:rFonts w:cs="Times New Roman"/>
          <w:i/>
          <w:iCs/>
          <w:szCs w:val="24"/>
        </w:rPr>
        <w:t>Strategic management: a stakeholder approach</w:t>
      </w:r>
      <w:r w:rsidRPr="004D6EAC">
        <w:rPr>
          <w:rFonts w:cs="Times New Roman"/>
          <w:szCs w:val="24"/>
        </w:rPr>
        <w:t>. Boston: Pitman</w:t>
      </w:r>
    </w:p>
    <w:p w14:paraId="05627D81" w14:textId="77777777" w:rsidR="004D6EAC" w:rsidRPr="004D6EAC" w:rsidRDefault="004D6EAC" w:rsidP="004D6EAC">
      <w:pPr>
        <w:ind w:left="720" w:hanging="720"/>
        <w:rPr>
          <w:rFonts w:cs="Times New Roman"/>
          <w:szCs w:val="24"/>
        </w:rPr>
      </w:pPr>
      <w:r w:rsidRPr="004D6EAC">
        <w:rPr>
          <w:rFonts w:cs="Times New Roman"/>
          <w:szCs w:val="24"/>
        </w:rPr>
        <w:t xml:space="preserve">Freeman, R.E., Harrison, J.S. and </w:t>
      </w:r>
      <w:proofErr w:type="spellStart"/>
      <w:r w:rsidRPr="004D6EAC">
        <w:rPr>
          <w:rFonts w:cs="Times New Roman"/>
          <w:szCs w:val="24"/>
        </w:rPr>
        <w:t>Zyglidopoulos</w:t>
      </w:r>
      <w:proofErr w:type="spellEnd"/>
      <w:r w:rsidRPr="004D6EAC">
        <w:rPr>
          <w:rFonts w:cs="Times New Roman"/>
          <w:szCs w:val="24"/>
        </w:rPr>
        <w:t xml:space="preserve">, S. (2018) </w:t>
      </w:r>
      <w:r w:rsidRPr="004D6EAC">
        <w:rPr>
          <w:rFonts w:cs="Times New Roman"/>
          <w:i/>
          <w:iCs/>
          <w:szCs w:val="24"/>
        </w:rPr>
        <w:t>Stakeholder theory: concepts and strategies</w:t>
      </w:r>
      <w:r w:rsidRPr="004D6EAC">
        <w:rPr>
          <w:rFonts w:cs="Times New Roman"/>
          <w:szCs w:val="24"/>
        </w:rPr>
        <w:t>. Cambridge: Cambridge University Press</w:t>
      </w:r>
    </w:p>
    <w:p w14:paraId="2E755FCF" w14:textId="77777777" w:rsidR="004D6EAC" w:rsidRPr="004D6EAC" w:rsidRDefault="004D6EAC" w:rsidP="004D6EAC">
      <w:pPr>
        <w:ind w:left="720" w:hanging="720"/>
        <w:rPr>
          <w:rFonts w:cs="Times New Roman"/>
          <w:szCs w:val="24"/>
        </w:rPr>
      </w:pPr>
      <w:r w:rsidRPr="004D6EAC">
        <w:rPr>
          <w:rFonts w:cs="Times New Roman"/>
          <w:szCs w:val="24"/>
        </w:rPr>
        <w:t xml:space="preserve">Friede, G., Busch, T. and Bassen, A. (2015) ‘ESG and financial performance: aggregated evidence from more than 2000 empirical studies’, </w:t>
      </w:r>
      <w:r w:rsidRPr="004D6EAC">
        <w:rPr>
          <w:rFonts w:cs="Times New Roman"/>
          <w:i/>
          <w:iCs/>
          <w:szCs w:val="24"/>
        </w:rPr>
        <w:t>Journal of Sustainable Finance &amp; Investment</w:t>
      </w:r>
      <w:r w:rsidRPr="004D6EAC">
        <w:rPr>
          <w:rFonts w:cs="Times New Roman"/>
          <w:szCs w:val="24"/>
        </w:rPr>
        <w:t xml:space="preserve">, 5(4), pp. 210–233. Available at: </w:t>
      </w:r>
      <w:hyperlink r:id="rId47" w:tgtFrame="_new" w:history="1">
        <w:r w:rsidRPr="004D6EAC">
          <w:rPr>
            <w:rStyle w:val="Hyperlink"/>
            <w:rFonts w:cs="Times New Roman"/>
            <w:szCs w:val="24"/>
          </w:rPr>
          <w:t>https://doi.org/10.1080/20430795.2015.1118917</w:t>
        </w:r>
      </w:hyperlink>
    </w:p>
    <w:p w14:paraId="67E9468A" w14:textId="77777777" w:rsidR="004D6EAC" w:rsidRPr="004D6EAC" w:rsidRDefault="004D6EAC" w:rsidP="004D6EAC">
      <w:pPr>
        <w:ind w:left="720" w:hanging="720"/>
        <w:rPr>
          <w:rFonts w:cs="Times New Roman"/>
          <w:szCs w:val="24"/>
        </w:rPr>
      </w:pPr>
      <w:r w:rsidRPr="004D6EAC">
        <w:rPr>
          <w:rFonts w:cs="Times New Roman"/>
          <w:szCs w:val="24"/>
        </w:rPr>
        <w:t xml:space="preserve">Friedman, M. (1970) ‘The social responsibility of business is to increase its profits’, </w:t>
      </w:r>
      <w:r w:rsidRPr="004D6EAC">
        <w:rPr>
          <w:rFonts w:cs="Times New Roman"/>
          <w:i/>
          <w:iCs/>
          <w:szCs w:val="24"/>
        </w:rPr>
        <w:t>The New York Times Magazine</w:t>
      </w:r>
      <w:r w:rsidRPr="004D6EAC">
        <w:rPr>
          <w:rFonts w:cs="Times New Roman"/>
          <w:szCs w:val="24"/>
        </w:rPr>
        <w:t xml:space="preserve">, 13 September. Available at: </w:t>
      </w:r>
      <w:hyperlink r:id="rId48" w:tgtFrame="_new" w:history="1">
        <w:r w:rsidRPr="004D6EAC">
          <w:rPr>
            <w:rStyle w:val="Hyperlink"/>
            <w:rFonts w:cs="Times New Roman"/>
            <w:szCs w:val="24"/>
          </w:rPr>
          <w:t>https://www.nytimes.com/1970/09/13/archives/a-friedman-doctrine-the-social-responsibility-of-business-is-to.html</w:t>
        </w:r>
      </w:hyperlink>
    </w:p>
    <w:p w14:paraId="4D5E5416" w14:textId="77777777" w:rsidR="00337530" w:rsidRPr="00337530" w:rsidRDefault="00337530" w:rsidP="00337530">
      <w:pPr>
        <w:ind w:left="720" w:hanging="720"/>
        <w:rPr>
          <w:rFonts w:cs="Times New Roman"/>
          <w:szCs w:val="24"/>
        </w:rPr>
      </w:pPr>
      <w:r w:rsidRPr="00337530">
        <w:rPr>
          <w:rFonts w:cs="Times New Roman"/>
          <w:szCs w:val="24"/>
        </w:rPr>
        <w:t xml:space="preserve">Garcia, A.S. and Orsato, R.J. (2020) ‘Testing the institutional difference hypothesis: a study about environmental, social, governance and financial performance’, </w:t>
      </w:r>
      <w:r w:rsidRPr="00337530">
        <w:rPr>
          <w:rFonts w:cs="Times New Roman"/>
          <w:i/>
          <w:iCs/>
          <w:szCs w:val="24"/>
        </w:rPr>
        <w:t>Business Strategy and the Environment</w:t>
      </w:r>
      <w:r w:rsidRPr="00337530">
        <w:rPr>
          <w:rFonts w:cs="Times New Roman"/>
          <w:szCs w:val="24"/>
        </w:rPr>
        <w:t xml:space="preserve">, 29(8), pp. 3261–3272. Available at: </w:t>
      </w:r>
      <w:hyperlink r:id="rId49" w:tgtFrame="_new" w:history="1">
        <w:r w:rsidRPr="00337530">
          <w:rPr>
            <w:rStyle w:val="Hyperlink"/>
            <w:rFonts w:cs="Times New Roman"/>
            <w:szCs w:val="24"/>
          </w:rPr>
          <w:t>https://doi.org/10.1002/bse.2570</w:t>
        </w:r>
      </w:hyperlink>
    </w:p>
    <w:p w14:paraId="36CCA2F0" w14:textId="77777777" w:rsidR="00337530" w:rsidRPr="00337530" w:rsidRDefault="00337530" w:rsidP="00337530">
      <w:pPr>
        <w:ind w:left="720" w:hanging="720"/>
        <w:rPr>
          <w:rFonts w:cs="Times New Roman"/>
          <w:szCs w:val="24"/>
        </w:rPr>
      </w:pPr>
      <w:r w:rsidRPr="00337530">
        <w:rPr>
          <w:rFonts w:cs="Times New Roman"/>
          <w:szCs w:val="24"/>
        </w:rPr>
        <w:t xml:space="preserve">Garcia, A.S., Mendes-Da-Silva, W. and Orsato, R.J. (2017) ‘Sensitive industries produce better ESG performance: evidence from emerging markets’, </w:t>
      </w:r>
      <w:r w:rsidRPr="00337530">
        <w:rPr>
          <w:rFonts w:cs="Times New Roman"/>
          <w:i/>
          <w:iCs/>
          <w:szCs w:val="24"/>
        </w:rPr>
        <w:t>Journal of Cleaner Production</w:t>
      </w:r>
      <w:r w:rsidRPr="00337530">
        <w:rPr>
          <w:rFonts w:cs="Times New Roman"/>
          <w:szCs w:val="24"/>
        </w:rPr>
        <w:t xml:space="preserve">, 150, pp. 135–147. Available at: </w:t>
      </w:r>
      <w:hyperlink r:id="rId50" w:tgtFrame="_new" w:history="1">
        <w:r w:rsidRPr="00337530">
          <w:rPr>
            <w:rStyle w:val="Hyperlink"/>
            <w:rFonts w:cs="Times New Roman"/>
            <w:szCs w:val="24"/>
          </w:rPr>
          <w:t>https://doi.org/10.1016/j.jclepro.2017.02</w:t>
        </w:r>
      </w:hyperlink>
    </w:p>
    <w:p w14:paraId="6393ADF2" w14:textId="77777777" w:rsidR="00337530" w:rsidRPr="00337530" w:rsidRDefault="00337530" w:rsidP="00337530">
      <w:pPr>
        <w:ind w:left="720" w:hanging="720"/>
        <w:rPr>
          <w:rFonts w:cs="Times New Roman"/>
          <w:szCs w:val="24"/>
        </w:rPr>
      </w:pPr>
      <w:r w:rsidRPr="00337530">
        <w:rPr>
          <w:rFonts w:cs="Times New Roman"/>
          <w:szCs w:val="24"/>
        </w:rPr>
        <w:t xml:space="preserve">Gesso, C.D. and Lodhi, R.N. (2024) ‘Theories underlying environmental, social and governance (ESG) disclosure: a systematic review of accounting studies’, </w:t>
      </w:r>
      <w:r w:rsidRPr="00337530">
        <w:rPr>
          <w:rFonts w:cs="Times New Roman"/>
          <w:i/>
          <w:iCs/>
          <w:szCs w:val="24"/>
        </w:rPr>
        <w:t>Journal of Accounting Literature</w:t>
      </w:r>
      <w:r w:rsidRPr="00337530">
        <w:rPr>
          <w:rFonts w:cs="Times New Roman"/>
          <w:szCs w:val="24"/>
        </w:rPr>
        <w:t xml:space="preserve">, 47(2), pp. 119–127. Available at: </w:t>
      </w:r>
      <w:hyperlink r:id="rId51" w:tgtFrame="_new" w:history="1">
        <w:r w:rsidRPr="00337530">
          <w:rPr>
            <w:rStyle w:val="Hyperlink"/>
            <w:rFonts w:cs="Times New Roman"/>
            <w:szCs w:val="24"/>
          </w:rPr>
          <w:t>https://doi.org/10.1108/jal-08-2023-0143</w:t>
        </w:r>
      </w:hyperlink>
    </w:p>
    <w:p w14:paraId="3385182C" w14:textId="77777777" w:rsidR="00337530" w:rsidRPr="00337530" w:rsidRDefault="00337530" w:rsidP="00337530">
      <w:pPr>
        <w:ind w:left="720" w:hanging="720"/>
        <w:rPr>
          <w:rFonts w:cs="Times New Roman"/>
          <w:szCs w:val="24"/>
        </w:rPr>
      </w:pPr>
      <w:r w:rsidRPr="00337530">
        <w:rPr>
          <w:rFonts w:cs="Times New Roman"/>
          <w:szCs w:val="24"/>
        </w:rPr>
        <w:t xml:space="preserve">Giese, G., Lee, L.-E., Melas, D., Nagy, Z. and Nishikawa, L. (2021) ‘Consistent ESG integration through a broad asset class: the case for a bottom-up approach’, </w:t>
      </w:r>
      <w:r w:rsidRPr="00337530">
        <w:rPr>
          <w:rFonts w:cs="Times New Roman"/>
          <w:i/>
          <w:iCs/>
          <w:szCs w:val="24"/>
        </w:rPr>
        <w:t>Journal of Portfolio Management</w:t>
      </w:r>
      <w:r w:rsidRPr="00337530">
        <w:rPr>
          <w:rFonts w:cs="Times New Roman"/>
          <w:szCs w:val="24"/>
        </w:rPr>
        <w:t xml:space="preserve">, 47(6), pp. 140–152. Available at: </w:t>
      </w:r>
      <w:hyperlink r:id="rId52" w:tgtFrame="_new" w:history="1">
        <w:r w:rsidRPr="00337530">
          <w:rPr>
            <w:rStyle w:val="Hyperlink"/>
            <w:rFonts w:cs="Times New Roman"/>
            <w:szCs w:val="24"/>
          </w:rPr>
          <w:t>https://doi.org/10.3905/jpm.2021.1.227</w:t>
        </w:r>
      </w:hyperlink>
    </w:p>
    <w:p w14:paraId="13FD221C" w14:textId="77777777" w:rsidR="00337530" w:rsidRPr="00337530" w:rsidRDefault="00337530" w:rsidP="00337530">
      <w:pPr>
        <w:ind w:left="720" w:hanging="720"/>
        <w:rPr>
          <w:rFonts w:cs="Times New Roman"/>
          <w:szCs w:val="24"/>
        </w:rPr>
      </w:pPr>
      <w:r w:rsidRPr="00337530">
        <w:rPr>
          <w:rFonts w:cs="Times New Roman"/>
          <w:szCs w:val="24"/>
        </w:rPr>
        <w:lastRenderedPageBreak/>
        <w:t xml:space="preserve">Gillan, S.L., Koch, A. and Starks, L.T. (2021) ‘Firms and social responsibility: a review of ESG and CSR research in corporate finance’, </w:t>
      </w:r>
      <w:r w:rsidRPr="00337530">
        <w:rPr>
          <w:rFonts w:cs="Times New Roman"/>
          <w:i/>
          <w:iCs/>
          <w:szCs w:val="24"/>
        </w:rPr>
        <w:t>Journal of Corporate Finance</w:t>
      </w:r>
      <w:r w:rsidRPr="00337530">
        <w:rPr>
          <w:rFonts w:cs="Times New Roman"/>
          <w:szCs w:val="24"/>
        </w:rPr>
        <w:t xml:space="preserve">, 66, p. 101889. Available at: </w:t>
      </w:r>
      <w:hyperlink r:id="rId53" w:tgtFrame="_new" w:history="1">
        <w:r w:rsidRPr="00337530">
          <w:rPr>
            <w:rStyle w:val="Hyperlink"/>
            <w:rFonts w:cs="Times New Roman"/>
            <w:szCs w:val="24"/>
          </w:rPr>
          <w:t>https://doi.org/10.1016/j.jcorpfin.2021.101889</w:t>
        </w:r>
      </w:hyperlink>
    </w:p>
    <w:p w14:paraId="711242A4" w14:textId="77777777" w:rsidR="00337530" w:rsidRPr="00337530" w:rsidRDefault="00337530" w:rsidP="00337530">
      <w:pPr>
        <w:ind w:left="720" w:hanging="720"/>
        <w:rPr>
          <w:rFonts w:cs="Times New Roman"/>
          <w:szCs w:val="24"/>
        </w:rPr>
      </w:pPr>
      <w:r w:rsidRPr="00337530">
        <w:rPr>
          <w:rFonts w:cs="Times New Roman"/>
          <w:szCs w:val="24"/>
        </w:rPr>
        <w:t xml:space="preserve">Gompers, P., Ishii, J. and Metrick, A. (2003) ‘Corporate governance and equity prices’, </w:t>
      </w:r>
      <w:r w:rsidRPr="00337530">
        <w:rPr>
          <w:rFonts w:cs="Times New Roman"/>
          <w:i/>
          <w:iCs/>
          <w:szCs w:val="24"/>
        </w:rPr>
        <w:t>The Quarterly Journal of Economics</w:t>
      </w:r>
      <w:r w:rsidRPr="00337530">
        <w:rPr>
          <w:rFonts w:cs="Times New Roman"/>
          <w:szCs w:val="24"/>
        </w:rPr>
        <w:t xml:space="preserve">, 118(1), pp. 107–156. Available at: </w:t>
      </w:r>
      <w:hyperlink r:id="rId54" w:tgtFrame="_new" w:history="1">
        <w:r w:rsidRPr="00337530">
          <w:rPr>
            <w:rStyle w:val="Hyperlink"/>
            <w:rFonts w:cs="Times New Roman"/>
            <w:szCs w:val="24"/>
          </w:rPr>
          <w:t>https://doi.org/10.1162/00335530360535162</w:t>
        </w:r>
      </w:hyperlink>
    </w:p>
    <w:p w14:paraId="64938FCD" w14:textId="77777777" w:rsidR="00337530" w:rsidRPr="00337530" w:rsidRDefault="00337530" w:rsidP="00337530">
      <w:pPr>
        <w:ind w:left="720" w:hanging="720"/>
        <w:rPr>
          <w:rFonts w:cs="Times New Roman"/>
          <w:szCs w:val="24"/>
        </w:rPr>
      </w:pPr>
      <w:r w:rsidRPr="00337530">
        <w:rPr>
          <w:rFonts w:cs="Times New Roman"/>
          <w:szCs w:val="24"/>
        </w:rPr>
        <w:t xml:space="preserve">Hair, J.F., Black, W.C., Babin, B.J. and Anderson, R.E. (2022) </w:t>
      </w:r>
      <w:r w:rsidRPr="00337530">
        <w:rPr>
          <w:rFonts w:cs="Times New Roman"/>
          <w:i/>
          <w:iCs/>
          <w:szCs w:val="24"/>
        </w:rPr>
        <w:t>Multivariate data analysis</w:t>
      </w:r>
      <w:r w:rsidRPr="00337530">
        <w:rPr>
          <w:rFonts w:cs="Times New Roman"/>
          <w:szCs w:val="24"/>
        </w:rPr>
        <w:t xml:space="preserve">. 8th </w:t>
      </w:r>
      <w:proofErr w:type="spellStart"/>
      <w:r w:rsidRPr="00337530">
        <w:rPr>
          <w:rFonts w:cs="Times New Roman"/>
          <w:szCs w:val="24"/>
        </w:rPr>
        <w:t>edn</w:t>
      </w:r>
      <w:proofErr w:type="spellEnd"/>
      <w:r w:rsidRPr="00337530">
        <w:rPr>
          <w:rFonts w:cs="Times New Roman"/>
          <w:szCs w:val="24"/>
        </w:rPr>
        <w:t>. Andover: Cengage Learning</w:t>
      </w:r>
    </w:p>
    <w:p w14:paraId="0C009FFD" w14:textId="77777777" w:rsidR="00337530" w:rsidRPr="00337530" w:rsidRDefault="00337530" w:rsidP="00337530">
      <w:pPr>
        <w:ind w:left="720" w:hanging="720"/>
        <w:rPr>
          <w:rFonts w:cs="Times New Roman"/>
          <w:szCs w:val="24"/>
        </w:rPr>
      </w:pPr>
      <w:r w:rsidRPr="00337530">
        <w:rPr>
          <w:rFonts w:cs="Times New Roman"/>
          <w:szCs w:val="24"/>
        </w:rPr>
        <w:t xml:space="preserve">Hillman, A.J. and Keim, G.D. (2001) ‘Shareholder value, stakeholder management and social issues: what’s the bottom line?’, </w:t>
      </w:r>
      <w:r w:rsidRPr="00337530">
        <w:rPr>
          <w:rFonts w:cs="Times New Roman"/>
          <w:i/>
          <w:iCs/>
          <w:szCs w:val="24"/>
        </w:rPr>
        <w:t>Strategic Management Journal</w:t>
      </w:r>
      <w:r w:rsidRPr="00337530">
        <w:rPr>
          <w:rFonts w:cs="Times New Roman"/>
          <w:szCs w:val="24"/>
        </w:rPr>
        <w:t xml:space="preserve">, 22(2), pp. 125–139. Available at: </w:t>
      </w:r>
      <w:hyperlink r:id="rId55" w:tgtFrame="_new" w:history="1">
        <w:r w:rsidRPr="00337530">
          <w:rPr>
            <w:rStyle w:val="Hyperlink"/>
            <w:rFonts w:cs="Times New Roman"/>
            <w:szCs w:val="24"/>
          </w:rPr>
          <w:t>https://doi.org/10.1002/1097-0266(200101)22:2</w:t>
        </w:r>
      </w:hyperlink>
      <w:r w:rsidRPr="00337530">
        <w:rPr>
          <w:rFonts w:cs="Times New Roman"/>
          <w:szCs w:val="24"/>
        </w:rPr>
        <w:t>&lt;</w:t>
      </w:r>
      <w:proofErr w:type="gramStart"/>
      <w:r w:rsidRPr="00337530">
        <w:rPr>
          <w:rFonts w:cs="Times New Roman"/>
          <w:szCs w:val="24"/>
        </w:rPr>
        <w:t>125::</w:t>
      </w:r>
      <w:proofErr w:type="gramEnd"/>
      <w:r w:rsidRPr="00337530">
        <w:rPr>
          <w:rFonts w:cs="Times New Roman"/>
          <w:szCs w:val="24"/>
        </w:rPr>
        <w:t>AID-SMJ150&gt;3.0.CO;2-H</w:t>
      </w:r>
    </w:p>
    <w:p w14:paraId="0F0671B3" w14:textId="77777777" w:rsidR="00337530" w:rsidRPr="00337530" w:rsidRDefault="00337530" w:rsidP="00337530">
      <w:pPr>
        <w:ind w:left="720" w:hanging="720"/>
        <w:rPr>
          <w:rFonts w:cs="Times New Roman"/>
          <w:szCs w:val="24"/>
        </w:rPr>
      </w:pPr>
      <w:r w:rsidRPr="00337530">
        <w:rPr>
          <w:rFonts w:cs="Times New Roman"/>
          <w:szCs w:val="24"/>
        </w:rPr>
        <w:t xml:space="preserve">Ioannou, I. and Serafeim, G. (2017) ‘The consequences of mandatory corporate sustainability reporting’. In: Henderson, R., Gulati, R. and Tushman, M. (eds.) </w:t>
      </w:r>
      <w:r w:rsidRPr="00337530">
        <w:rPr>
          <w:rFonts w:cs="Times New Roman"/>
          <w:i/>
          <w:iCs/>
          <w:szCs w:val="24"/>
        </w:rPr>
        <w:t>Leading sustainable change: an organizational perspective</w:t>
      </w:r>
      <w:r w:rsidRPr="00337530">
        <w:rPr>
          <w:rFonts w:cs="Times New Roman"/>
          <w:szCs w:val="24"/>
        </w:rPr>
        <w:t>. Oxford: Oxford University Press, pp. 1–34</w:t>
      </w:r>
    </w:p>
    <w:p w14:paraId="054489C4" w14:textId="77777777" w:rsidR="00337530" w:rsidRPr="00337530" w:rsidRDefault="00337530" w:rsidP="00337530">
      <w:pPr>
        <w:ind w:left="720" w:hanging="720"/>
        <w:rPr>
          <w:rFonts w:cs="Times New Roman"/>
          <w:szCs w:val="24"/>
        </w:rPr>
      </w:pPr>
      <w:r w:rsidRPr="00337530">
        <w:rPr>
          <w:rFonts w:cs="Times New Roman"/>
          <w:szCs w:val="24"/>
        </w:rPr>
        <w:t xml:space="preserve">Jensen, M.C. (2002) ‘Value maximization, stakeholder theory and the corporate objective function’, </w:t>
      </w:r>
      <w:r w:rsidRPr="00337530">
        <w:rPr>
          <w:rFonts w:cs="Times New Roman"/>
          <w:i/>
          <w:iCs/>
          <w:szCs w:val="24"/>
        </w:rPr>
        <w:t>Business Ethics Quarterly</w:t>
      </w:r>
      <w:r w:rsidRPr="00337530">
        <w:rPr>
          <w:rFonts w:cs="Times New Roman"/>
          <w:szCs w:val="24"/>
        </w:rPr>
        <w:t xml:space="preserve">, 12(2), pp. 235–256. Available at: </w:t>
      </w:r>
      <w:hyperlink r:id="rId56" w:tgtFrame="_new" w:history="1">
        <w:r w:rsidRPr="00337530">
          <w:rPr>
            <w:rStyle w:val="Hyperlink"/>
            <w:rFonts w:cs="Times New Roman"/>
            <w:szCs w:val="24"/>
          </w:rPr>
          <w:t>https://doi.org/10.2307/3857812</w:t>
        </w:r>
      </w:hyperlink>
    </w:p>
    <w:p w14:paraId="3165DE59" w14:textId="77777777" w:rsidR="00337530" w:rsidRPr="00337530" w:rsidRDefault="00337530" w:rsidP="00337530">
      <w:pPr>
        <w:ind w:left="720" w:hanging="720"/>
        <w:rPr>
          <w:rFonts w:cs="Times New Roman"/>
          <w:szCs w:val="24"/>
        </w:rPr>
      </w:pPr>
      <w:r w:rsidRPr="00337530">
        <w:rPr>
          <w:rFonts w:cs="Times New Roman"/>
          <w:szCs w:val="24"/>
        </w:rPr>
        <w:t xml:space="preserve">Jensen, M.C. and Meckling, W.H. (1976) ‘Theory of the firm: managerial behaviour, agency costs and ownership structure’, </w:t>
      </w:r>
      <w:r w:rsidRPr="00337530">
        <w:rPr>
          <w:rFonts w:cs="Times New Roman"/>
          <w:i/>
          <w:iCs/>
          <w:szCs w:val="24"/>
        </w:rPr>
        <w:t>Journal of Financial Economics</w:t>
      </w:r>
      <w:r w:rsidRPr="00337530">
        <w:rPr>
          <w:rFonts w:cs="Times New Roman"/>
          <w:szCs w:val="24"/>
        </w:rPr>
        <w:t xml:space="preserve">, 3(4), pp. 305–360. Available at: </w:t>
      </w:r>
      <w:hyperlink r:id="rId57" w:tgtFrame="_new" w:history="1">
        <w:r w:rsidRPr="00337530">
          <w:rPr>
            <w:rStyle w:val="Hyperlink"/>
            <w:rFonts w:cs="Times New Roman"/>
            <w:szCs w:val="24"/>
          </w:rPr>
          <w:t>https://doi.org/10.1016/0304-405X(76)90026-X</w:t>
        </w:r>
      </w:hyperlink>
    </w:p>
    <w:p w14:paraId="2C0FD460" w14:textId="77777777" w:rsidR="00337530" w:rsidRPr="00337530" w:rsidRDefault="00337530" w:rsidP="00337530">
      <w:pPr>
        <w:ind w:left="720" w:hanging="720"/>
        <w:rPr>
          <w:rFonts w:cs="Times New Roman"/>
          <w:szCs w:val="24"/>
        </w:rPr>
      </w:pPr>
      <w:r w:rsidRPr="00337530">
        <w:rPr>
          <w:rFonts w:cs="Times New Roman"/>
          <w:szCs w:val="24"/>
        </w:rPr>
        <w:t xml:space="preserve">Johnston, M.P. (2017) ‘Secondary data analysis: a method of which the time has come’, </w:t>
      </w:r>
      <w:r w:rsidRPr="00337530">
        <w:rPr>
          <w:rFonts w:cs="Times New Roman"/>
          <w:i/>
          <w:iCs/>
          <w:szCs w:val="24"/>
        </w:rPr>
        <w:t>Qualitative and Quantitative Methods in Libraries</w:t>
      </w:r>
      <w:r w:rsidRPr="00337530">
        <w:rPr>
          <w:rFonts w:cs="Times New Roman"/>
          <w:szCs w:val="24"/>
        </w:rPr>
        <w:t xml:space="preserve">, 3(3), pp. 619–626. Available at: </w:t>
      </w:r>
      <w:hyperlink r:id="rId58" w:tgtFrame="_new" w:history="1">
        <w:r w:rsidRPr="00337530">
          <w:rPr>
            <w:rStyle w:val="Hyperlink"/>
            <w:rFonts w:cs="Times New Roman"/>
            <w:szCs w:val="24"/>
          </w:rPr>
          <w:t>https://www.qqml-journal.net/index.php/qqml/article/view/169</w:t>
        </w:r>
      </w:hyperlink>
    </w:p>
    <w:p w14:paraId="76532AC2" w14:textId="77777777" w:rsidR="00337530" w:rsidRPr="00337530" w:rsidRDefault="00337530" w:rsidP="00337530">
      <w:pPr>
        <w:ind w:left="720" w:hanging="720"/>
        <w:rPr>
          <w:rFonts w:cs="Times New Roman"/>
          <w:szCs w:val="24"/>
        </w:rPr>
      </w:pPr>
      <w:r w:rsidRPr="00337530">
        <w:rPr>
          <w:rFonts w:cs="Times New Roman"/>
          <w:szCs w:val="24"/>
        </w:rPr>
        <w:t xml:space="preserve">Khaled, R., Ali, H. and Mohamed, E. (2024) ‘Assessing the moderating role of ESG performance on corporate governance and firm value in developing countries’, </w:t>
      </w:r>
      <w:r w:rsidRPr="00337530">
        <w:rPr>
          <w:rFonts w:cs="Times New Roman"/>
          <w:i/>
          <w:iCs/>
          <w:szCs w:val="24"/>
        </w:rPr>
        <w:t>Cogent Business &amp; Management</w:t>
      </w:r>
      <w:r w:rsidRPr="00337530">
        <w:rPr>
          <w:rFonts w:cs="Times New Roman"/>
          <w:szCs w:val="24"/>
        </w:rPr>
        <w:t xml:space="preserve">, 11(1). Available at: </w:t>
      </w:r>
      <w:hyperlink r:id="rId59" w:tgtFrame="_new" w:history="1">
        <w:r w:rsidRPr="00337530">
          <w:rPr>
            <w:rStyle w:val="Hyperlink"/>
            <w:rFonts w:cs="Times New Roman"/>
            <w:szCs w:val="24"/>
          </w:rPr>
          <w:t>https://doi.org/10.1080/23311975.2024.2333941</w:t>
        </w:r>
      </w:hyperlink>
    </w:p>
    <w:p w14:paraId="6F9C440B" w14:textId="77777777" w:rsidR="00337530" w:rsidRPr="00337530" w:rsidRDefault="00337530" w:rsidP="00337530">
      <w:pPr>
        <w:ind w:left="720" w:hanging="720"/>
        <w:rPr>
          <w:rFonts w:cs="Times New Roman"/>
          <w:szCs w:val="24"/>
        </w:rPr>
      </w:pPr>
      <w:r w:rsidRPr="00337530">
        <w:rPr>
          <w:rFonts w:cs="Times New Roman"/>
          <w:szCs w:val="24"/>
        </w:rPr>
        <w:t xml:space="preserve">Kim, Y., Weston, J. and Nnadi, M. (2025) ‘Unlock your firm value with ESG performance? Evidence from ASX-listed companies’, </w:t>
      </w:r>
      <w:r w:rsidRPr="00337530">
        <w:rPr>
          <w:rFonts w:cs="Times New Roman"/>
          <w:i/>
          <w:iCs/>
          <w:szCs w:val="24"/>
        </w:rPr>
        <w:t>Journal of Risk and Financial Management</w:t>
      </w:r>
      <w:r w:rsidRPr="00337530">
        <w:rPr>
          <w:rFonts w:cs="Times New Roman"/>
          <w:szCs w:val="24"/>
        </w:rPr>
        <w:t xml:space="preserve">, 18(5), p. 247. Available at: </w:t>
      </w:r>
      <w:hyperlink r:id="rId60" w:tgtFrame="_new" w:history="1">
        <w:r w:rsidRPr="00337530">
          <w:rPr>
            <w:rStyle w:val="Hyperlink"/>
            <w:rFonts w:cs="Times New Roman"/>
            <w:szCs w:val="24"/>
          </w:rPr>
          <w:t>https://doi.org/10.3390/jrfm18050247</w:t>
        </w:r>
      </w:hyperlink>
    </w:p>
    <w:p w14:paraId="58EB45AB" w14:textId="77777777" w:rsidR="00337530" w:rsidRPr="00337530" w:rsidRDefault="00337530" w:rsidP="00337530">
      <w:pPr>
        <w:ind w:left="720" w:hanging="720"/>
        <w:rPr>
          <w:rFonts w:cs="Times New Roman"/>
          <w:szCs w:val="24"/>
        </w:rPr>
      </w:pPr>
      <w:proofErr w:type="spellStart"/>
      <w:r w:rsidRPr="00337530">
        <w:rPr>
          <w:rFonts w:cs="Times New Roman"/>
          <w:szCs w:val="24"/>
        </w:rPr>
        <w:lastRenderedPageBreak/>
        <w:t>Koutoupis</w:t>
      </w:r>
      <w:proofErr w:type="spellEnd"/>
      <w:r w:rsidRPr="00337530">
        <w:rPr>
          <w:rFonts w:cs="Times New Roman"/>
          <w:szCs w:val="24"/>
        </w:rPr>
        <w:t xml:space="preserve">, A., </w:t>
      </w:r>
      <w:proofErr w:type="spellStart"/>
      <w:r w:rsidRPr="00337530">
        <w:rPr>
          <w:rFonts w:cs="Times New Roman"/>
          <w:szCs w:val="24"/>
        </w:rPr>
        <w:t>Fassas</w:t>
      </w:r>
      <w:proofErr w:type="spellEnd"/>
      <w:r w:rsidRPr="00337530">
        <w:rPr>
          <w:rFonts w:cs="Times New Roman"/>
          <w:szCs w:val="24"/>
        </w:rPr>
        <w:t xml:space="preserve">, A., </w:t>
      </w:r>
      <w:proofErr w:type="spellStart"/>
      <w:r w:rsidRPr="00337530">
        <w:rPr>
          <w:rFonts w:cs="Times New Roman"/>
          <w:szCs w:val="24"/>
        </w:rPr>
        <w:t>Nerantzidis</w:t>
      </w:r>
      <w:proofErr w:type="spellEnd"/>
      <w:r w:rsidRPr="00337530">
        <w:rPr>
          <w:rFonts w:cs="Times New Roman"/>
          <w:szCs w:val="24"/>
        </w:rPr>
        <w:t xml:space="preserve">, M., Persakis, A. and Tzeremes, P. (2025) ‘ESG and cost of capital components: does the legal system matter?’, </w:t>
      </w:r>
      <w:r w:rsidRPr="00337530">
        <w:rPr>
          <w:rFonts w:cs="Times New Roman"/>
          <w:i/>
          <w:iCs/>
          <w:szCs w:val="24"/>
        </w:rPr>
        <w:t>Journal of Accounting &amp; Organizational Change</w:t>
      </w:r>
      <w:r w:rsidRPr="00337530">
        <w:rPr>
          <w:rFonts w:cs="Times New Roman"/>
          <w:szCs w:val="24"/>
        </w:rPr>
        <w:t xml:space="preserve">, 32(2), pp. 78–89. Available at: </w:t>
      </w:r>
      <w:hyperlink r:id="rId61" w:tgtFrame="_new" w:history="1">
        <w:r w:rsidRPr="00337530">
          <w:rPr>
            <w:rStyle w:val="Hyperlink"/>
            <w:rFonts w:cs="Times New Roman"/>
            <w:szCs w:val="24"/>
          </w:rPr>
          <w:t>https://doi.org/10.1108/jaoc-03-2024-0090</w:t>
        </w:r>
      </w:hyperlink>
    </w:p>
    <w:p w14:paraId="54DC8BB5" w14:textId="77777777" w:rsidR="00337530" w:rsidRPr="00337530" w:rsidRDefault="00337530" w:rsidP="00337530">
      <w:pPr>
        <w:ind w:left="720" w:hanging="720"/>
        <w:rPr>
          <w:rFonts w:cs="Times New Roman"/>
          <w:szCs w:val="24"/>
        </w:rPr>
      </w:pPr>
      <w:r w:rsidRPr="00337530">
        <w:rPr>
          <w:rFonts w:cs="Times New Roman"/>
          <w:szCs w:val="24"/>
        </w:rPr>
        <w:t xml:space="preserve">La Porta, R., Lopez-de-Silanes, F., Shleifer, A. and </w:t>
      </w:r>
      <w:proofErr w:type="spellStart"/>
      <w:r w:rsidRPr="00337530">
        <w:rPr>
          <w:rFonts w:cs="Times New Roman"/>
          <w:szCs w:val="24"/>
        </w:rPr>
        <w:t>Vishny</w:t>
      </w:r>
      <w:proofErr w:type="spellEnd"/>
      <w:r w:rsidRPr="00337530">
        <w:rPr>
          <w:rFonts w:cs="Times New Roman"/>
          <w:szCs w:val="24"/>
        </w:rPr>
        <w:t xml:space="preserve">, R. (2002) ‘Investor protection and corporate valuation’, </w:t>
      </w:r>
      <w:r w:rsidRPr="00337530">
        <w:rPr>
          <w:rFonts w:cs="Times New Roman"/>
          <w:i/>
          <w:iCs/>
          <w:szCs w:val="24"/>
        </w:rPr>
        <w:t>The Journal of Finance</w:t>
      </w:r>
      <w:r w:rsidRPr="00337530">
        <w:rPr>
          <w:rFonts w:cs="Times New Roman"/>
          <w:szCs w:val="24"/>
        </w:rPr>
        <w:t xml:space="preserve">, 57(3), pp. 1147–1170. Available at: </w:t>
      </w:r>
      <w:hyperlink r:id="rId62" w:tgtFrame="_new" w:history="1">
        <w:r w:rsidRPr="00337530">
          <w:rPr>
            <w:rStyle w:val="Hyperlink"/>
            <w:rFonts w:cs="Times New Roman"/>
            <w:szCs w:val="24"/>
          </w:rPr>
          <w:t>https://doi.org/10.1111/1540-6261.00457</w:t>
        </w:r>
      </w:hyperlink>
    </w:p>
    <w:p w14:paraId="2BE88FBF" w14:textId="77777777" w:rsidR="00337530" w:rsidRPr="00337530" w:rsidRDefault="00337530" w:rsidP="00337530">
      <w:pPr>
        <w:ind w:left="720" w:hanging="720"/>
        <w:rPr>
          <w:rFonts w:cs="Times New Roman"/>
          <w:szCs w:val="24"/>
        </w:rPr>
      </w:pPr>
      <w:r w:rsidRPr="00337530">
        <w:rPr>
          <w:rFonts w:cs="Times New Roman"/>
          <w:szCs w:val="24"/>
        </w:rPr>
        <w:t xml:space="preserve">Lambert, R., </w:t>
      </w:r>
      <w:proofErr w:type="spellStart"/>
      <w:r w:rsidRPr="00337530">
        <w:rPr>
          <w:rFonts w:cs="Times New Roman"/>
          <w:szCs w:val="24"/>
        </w:rPr>
        <w:t>Leuz</w:t>
      </w:r>
      <w:proofErr w:type="spellEnd"/>
      <w:r w:rsidRPr="00337530">
        <w:rPr>
          <w:rFonts w:cs="Times New Roman"/>
          <w:szCs w:val="24"/>
        </w:rPr>
        <w:t xml:space="preserve">, C. and Verrecchia, R.E. (2007) ‘Accounting information, disclosure and the cost of capital’, </w:t>
      </w:r>
      <w:r w:rsidRPr="00337530">
        <w:rPr>
          <w:rFonts w:cs="Times New Roman"/>
          <w:i/>
          <w:iCs/>
          <w:szCs w:val="24"/>
        </w:rPr>
        <w:t>Journal of Accounting Research</w:t>
      </w:r>
      <w:r w:rsidRPr="00337530">
        <w:rPr>
          <w:rFonts w:cs="Times New Roman"/>
          <w:szCs w:val="24"/>
        </w:rPr>
        <w:t xml:space="preserve">, 45(2), pp. 385–420. Available at: </w:t>
      </w:r>
      <w:hyperlink r:id="rId63" w:tgtFrame="_new" w:history="1">
        <w:r w:rsidRPr="00337530">
          <w:rPr>
            <w:rStyle w:val="Hyperlink"/>
            <w:rFonts w:cs="Times New Roman"/>
            <w:szCs w:val="24"/>
          </w:rPr>
          <w:t>https://doi.org/10.1111/j.1475-679X.2007.00238.x</w:t>
        </w:r>
      </w:hyperlink>
    </w:p>
    <w:p w14:paraId="13DF68EF" w14:textId="77777777" w:rsidR="00337530" w:rsidRPr="00337530" w:rsidRDefault="00337530" w:rsidP="00337530">
      <w:pPr>
        <w:ind w:left="720" w:hanging="720"/>
        <w:rPr>
          <w:rFonts w:cs="Times New Roman"/>
          <w:szCs w:val="24"/>
        </w:rPr>
      </w:pPr>
      <w:r w:rsidRPr="00337530">
        <w:rPr>
          <w:rFonts w:cs="Times New Roman"/>
          <w:szCs w:val="24"/>
        </w:rPr>
        <w:t xml:space="preserve">Landi, G. and </w:t>
      </w:r>
      <w:proofErr w:type="spellStart"/>
      <w:r w:rsidRPr="00337530">
        <w:rPr>
          <w:rFonts w:cs="Times New Roman"/>
          <w:szCs w:val="24"/>
        </w:rPr>
        <w:t>Sciarelli</w:t>
      </w:r>
      <w:proofErr w:type="spellEnd"/>
      <w:r w:rsidRPr="00337530">
        <w:rPr>
          <w:rFonts w:cs="Times New Roman"/>
          <w:szCs w:val="24"/>
        </w:rPr>
        <w:t xml:space="preserve">, M. (2019) ‘Towards a more ethical market: the impact of ESG rating on corporate financial performance’, </w:t>
      </w:r>
      <w:r w:rsidRPr="00337530">
        <w:rPr>
          <w:rFonts w:cs="Times New Roman"/>
          <w:i/>
          <w:iCs/>
          <w:szCs w:val="24"/>
        </w:rPr>
        <w:t>Social Responsibility Journal</w:t>
      </w:r>
      <w:r w:rsidRPr="00337530">
        <w:rPr>
          <w:rFonts w:cs="Times New Roman"/>
          <w:szCs w:val="24"/>
        </w:rPr>
        <w:t xml:space="preserve">, 15(1), pp. 11–27. Available at: </w:t>
      </w:r>
      <w:hyperlink r:id="rId64" w:tgtFrame="_new" w:history="1">
        <w:r w:rsidRPr="00337530">
          <w:rPr>
            <w:rStyle w:val="Hyperlink"/>
            <w:rFonts w:cs="Times New Roman"/>
            <w:szCs w:val="24"/>
          </w:rPr>
          <w:t>https://doi.org/10.1108/SRJ-11-2017-0254</w:t>
        </w:r>
      </w:hyperlink>
    </w:p>
    <w:p w14:paraId="7CC9446E" w14:textId="77777777" w:rsidR="00337530" w:rsidRPr="00337530" w:rsidRDefault="00337530" w:rsidP="00337530">
      <w:pPr>
        <w:ind w:left="720" w:hanging="720"/>
        <w:rPr>
          <w:rFonts w:cs="Times New Roman"/>
          <w:szCs w:val="24"/>
        </w:rPr>
      </w:pPr>
      <w:r w:rsidRPr="00337530">
        <w:rPr>
          <w:rFonts w:cs="Times New Roman"/>
          <w:szCs w:val="24"/>
        </w:rPr>
        <w:t xml:space="preserve">Lee, S.P. and Isa, M. (2020) ‘Environmental, social and governance (ESG) practices and performance in Shariah firms: agency or stakeholder theory?’, </w:t>
      </w:r>
      <w:r w:rsidRPr="00337530">
        <w:rPr>
          <w:rFonts w:cs="Times New Roman"/>
          <w:i/>
          <w:iCs/>
          <w:szCs w:val="24"/>
        </w:rPr>
        <w:t>Asian Academy of Management Journal of Accounting and Finance</w:t>
      </w:r>
      <w:r w:rsidRPr="00337530">
        <w:rPr>
          <w:rFonts w:cs="Times New Roman"/>
          <w:szCs w:val="24"/>
        </w:rPr>
        <w:t xml:space="preserve">, 16(1), pp. 1–34. Available at: </w:t>
      </w:r>
      <w:hyperlink r:id="rId65" w:tgtFrame="_new" w:history="1">
        <w:r w:rsidRPr="00337530">
          <w:rPr>
            <w:rStyle w:val="Hyperlink"/>
            <w:rFonts w:cs="Times New Roman"/>
            <w:szCs w:val="24"/>
          </w:rPr>
          <w:t>https://doi.org/10.21315/aamjaf2020.16.1.1</w:t>
        </w:r>
      </w:hyperlink>
    </w:p>
    <w:p w14:paraId="50532539" w14:textId="77777777" w:rsidR="00337530" w:rsidRPr="00337530" w:rsidRDefault="00337530" w:rsidP="00337530">
      <w:pPr>
        <w:ind w:left="720" w:hanging="720"/>
        <w:rPr>
          <w:rFonts w:cs="Times New Roman"/>
          <w:szCs w:val="24"/>
        </w:rPr>
      </w:pPr>
      <w:r w:rsidRPr="00337530">
        <w:rPr>
          <w:rFonts w:cs="Times New Roman"/>
          <w:szCs w:val="24"/>
        </w:rPr>
        <w:t xml:space="preserve">Li, Q., Tang, W. and Li, Z. (2024) ‘ESG systems and financial performance in industries with significant environmental impact: a comprehensive analysis’, </w:t>
      </w:r>
      <w:r w:rsidRPr="00337530">
        <w:rPr>
          <w:rFonts w:cs="Times New Roman"/>
          <w:i/>
          <w:iCs/>
          <w:szCs w:val="24"/>
        </w:rPr>
        <w:t>Frontiers in Sustainability</w:t>
      </w:r>
      <w:r w:rsidRPr="00337530">
        <w:rPr>
          <w:rFonts w:cs="Times New Roman"/>
          <w:szCs w:val="24"/>
        </w:rPr>
        <w:t xml:space="preserve">, 5, p. 1454822. Available at: </w:t>
      </w:r>
      <w:hyperlink r:id="rId66" w:tgtFrame="_new" w:history="1">
        <w:r w:rsidRPr="00337530">
          <w:rPr>
            <w:rStyle w:val="Hyperlink"/>
            <w:rFonts w:cs="Times New Roman"/>
            <w:szCs w:val="24"/>
          </w:rPr>
          <w:t>https://doi.org/10.3389/frsus.2024.1454822</w:t>
        </w:r>
      </w:hyperlink>
    </w:p>
    <w:p w14:paraId="20C7DFE3" w14:textId="77777777" w:rsidR="00337530" w:rsidRPr="00337530" w:rsidRDefault="00337530" w:rsidP="00337530">
      <w:pPr>
        <w:ind w:left="720" w:hanging="720"/>
        <w:rPr>
          <w:rFonts w:cs="Times New Roman"/>
          <w:szCs w:val="24"/>
        </w:rPr>
      </w:pPr>
      <w:r w:rsidRPr="00337530">
        <w:rPr>
          <w:rFonts w:cs="Times New Roman"/>
          <w:szCs w:val="24"/>
        </w:rPr>
        <w:t xml:space="preserve">Li, T.-T., Wang, K., Sueyoshi, T. and Wang, D.D. (2023) ‘ESG: research progress and future prospects’, </w:t>
      </w:r>
      <w:r w:rsidRPr="00337530">
        <w:rPr>
          <w:rFonts w:cs="Times New Roman"/>
          <w:i/>
          <w:iCs/>
          <w:szCs w:val="24"/>
        </w:rPr>
        <w:t>Sustainability</w:t>
      </w:r>
      <w:r w:rsidRPr="00337530">
        <w:rPr>
          <w:rFonts w:cs="Times New Roman"/>
          <w:szCs w:val="24"/>
        </w:rPr>
        <w:t xml:space="preserve">, 13(21), p. 11663. Available at: </w:t>
      </w:r>
      <w:hyperlink r:id="rId67" w:tgtFrame="_new" w:history="1">
        <w:r w:rsidRPr="00337530">
          <w:rPr>
            <w:rStyle w:val="Hyperlink"/>
            <w:rFonts w:cs="Times New Roman"/>
            <w:szCs w:val="24"/>
          </w:rPr>
          <w:t>https://doi.org/10.3390/su132111663</w:t>
        </w:r>
      </w:hyperlink>
    </w:p>
    <w:p w14:paraId="2EE4DBB0" w14:textId="77777777" w:rsidR="00337530" w:rsidRPr="00337530" w:rsidRDefault="00337530" w:rsidP="00337530">
      <w:pPr>
        <w:ind w:left="720" w:hanging="720"/>
        <w:rPr>
          <w:rFonts w:cs="Times New Roman"/>
          <w:szCs w:val="24"/>
        </w:rPr>
      </w:pPr>
      <w:r w:rsidRPr="00337530">
        <w:rPr>
          <w:rFonts w:cs="Times New Roman"/>
          <w:szCs w:val="24"/>
        </w:rPr>
        <w:t xml:space="preserve">Liang, H. and </w:t>
      </w:r>
      <w:proofErr w:type="spellStart"/>
      <w:r w:rsidRPr="00337530">
        <w:rPr>
          <w:rFonts w:cs="Times New Roman"/>
          <w:szCs w:val="24"/>
        </w:rPr>
        <w:t>Renneboog</w:t>
      </w:r>
      <w:proofErr w:type="spellEnd"/>
      <w:r w:rsidRPr="00337530">
        <w:rPr>
          <w:rFonts w:cs="Times New Roman"/>
          <w:szCs w:val="24"/>
        </w:rPr>
        <w:t xml:space="preserve">, L. (2017) ‘On the foundations of corporate social responsibility’, </w:t>
      </w:r>
      <w:r w:rsidRPr="00337530">
        <w:rPr>
          <w:rFonts w:cs="Times New Roman"/>
          <w:i/>
          <w:iCs/>
          <w:szCs w:val="24"/>
        </w:rPr>
        <w:t>The Journal of Finance</w:t>
      </w:r>
      <w:r w:rsidRPr="00337530">
        <w:rPr>
          <w:rFonts w:cs="Times New Roman"/>
          <w:szCs w:val="24"/>
        </w:rPr>
        <w:t xml:space="preserve">, 72(2), pp. 853–910. Available at: </w:t>
      </w:r>
      <w:hyperlink r:id="rId68" w:tgtFrame="_new" w:history="1">
        <w:r w:rsidRPr="00337530">
          <w:rPr>
            <w:rStyle w:val="Hyperlink"/>
            <w:rFonts w:cs="Times New Roman"/>
            <w:szCs w:val="24"/>
          </w:rPr>
          <w:t>https://doi.org/10.1111/jofi.12487</w:t>
        </w:r>
      </w:hyperlink>
    </w:p>
    <w:p w14:paraId="1CCCA8B6" w14:textId="77777777" w:rsidR="00337530" w:rsidRPr="00337530" w:rsidRDefault="00337530" w:rsidP="00337530">
      <w:pPr>
        <w:ind w:left="720" w:hanging="720"/>
        <w:rPr>
          <w:rFonts w:cs="Times New Roman"/>
          <w:szCs w:val="24"/>
        </w:rPr>
      </w:pPr>
      <w:proofErr w:type="spellStart"/>
      <w:r w:rsidRPr="00337530">
        <w:rPr>
          <w:rFonts w:cs="Times New Roman"/>
          <w:szCs w:val="24"/>
        </w:rPr>
        <w:t>Marsat</w:t>
      </w:r>
      <w:proofErr w:type="spellEnd"/>
      <w:r w:rsidRPr="00337530">
        <w:rPr>
          <w:rFonts w:cs="Times New Roman"/>
          <w:szCs w:val="24"/>
        </w:rPr>
        <w:t xml:space="preserve">, S. and Williams, B. (2011) </w:t>
      </w:r>
      <w:r w:rsidRPr="00337530">
        <w:rPr>
          <w:rFonts w:cs="Times New Roman"/>
          <w:i/>
          <w:iCs/>
          <w:szCs w:val="24"/>
        </w:rPr>
        <w:t>CSR and market valuation: international evidence</w:t>
      </w:r>
      <w:r w:rsidRPr="00337530">
        <w:rPr>
          <w:rFonts w:cs="Times New Roman"/>
          <w:szCs w:val="24"/>
        </w:rPr>
        <w:t xml:space="preserve"> [Working paper]. Available at: </w:t>
      </w:r>
      <w:hyperlink r:id="rId69" w:tgtFrame="_new" w:history="1">
        <w:r w:rsidRPr="00337530">
          <w:rPr>
            <w:rStyle w:val="Hyperlink"/>
            <w:rFonts w:cs="Times New Roman"/>
            <w:szCs w:val="24"/>
          </w:rPr>
          <w:t>https://doi.org/10.2139/ssrn.2196941</w:t>
        </w:r>
      </w:hyperlink>
    </w:p>
    <w:p w14:paraId="72710350" w14:textId="77777777" w:rsidR="00337530" w:rsidRPr="00337530" w:rsidRDefault="00337530" w:rsidP="00337530">
      <w:pPr>
        <w:ind w:left="720" w:hanging="720"/>
        <w:rPr>
          <w:rFonts w:cs="Times New Roman"/>
          <w:szCs w:val="24"/>
        </w:rPr>
      </w:pPr>
      <w:proofErr w:type="spellStart"/>
      <w:r w:rsidRPr="00337530">
        <w:rPr>
          <w:rFonts w:cs="Times New Roman"/>
          <w:szCs w:val="24"/>
        </w:rPr>
        <w:t>Matemane</w:t>
      </w:r>
      <w:proofErr w:type="spellEnd"/>
      <w:r w:rsidRPr="00337530">
        <w:rPr>
          <w:rFonts w:cs="Times New Roman"/>
          <w:szCs w:val="24"/>
        </w:rPr>
        <w:t xml:space="preserve">, R., Molefe, K. and Sibanda, M. (2024) ‘Environmental, social and governance and financial performance nexus in South African listed firms’, </w:t>
      </w:r>
      <w:r w:rsidRPr="00337530">
        <w:rPr>
          <w:rFonts w:cs="Times New Roman"/>
          <w:i/>
          <w:iCs/>
          <w:szCs w:val="24"/>
        </w:rPr>
        <w:t xml:space="preserve">South African Journal of </w:t>
      </w:r>
      <w:r w:rsidRPr="00337530">
        <w:rPr>
          <w:rFonts w:cs="Times New Roman"/>
          <w:i/>
          <w:iCs/>
          <w:szCs w:val="24"/>
        </w:rPr>
        <w:lastRenderedPageBreak/>
        <w:t>Economic and Management Sciences</w:t>
      </w:r>
      <w:r w:rsidRPr="00337530">
        <w:rPr>
          <w:rFonts w:cs="Times New Roman"/>
          <w:szCs w:val="24"/>
        </w:rPr>
        <w:t xml:space="preserve">, 27(1), pp. 1–15. Available at: </w:t>
      </w:r>
      <w:hyperlink r:id="rId70" w:tgtFrame="_new" w:history="1">
        <w:r w:rsidRPr="00337530">
          <w:rPr>
            <w:rStyle w:val="Hyperlink"/>
            <w:rFonts w:cs="Times New Roman"/>
            <w:szCs w:val="24"/>
          </w:rPr>
          <w:t>https://doi.org/10.4102/sajems.v27i1.5387</w:t>
        </w:r>
      </w:hyperlink>
    </w:p>
    <w:p w14:paraId="749912EA" w14:textId="77777777" w:rsidR="00337530" w:rsidRPr="00337530" w:rsidRDefault="00337530" w:rsidP="00337530">
      <w:pPr>
        <w:ind w:left="720" w:hanging="720"/>
        <w:rPr>
          <w:rFonts w:cs="Times New Roman"/>
          <w:szCs w:val="24"/>
        </w:rPr>
      </w:pPr>
      <w:r w:rsidRPr="00337530">
        <w:rPr>
          <w:rFonts w:cs="Times New Roman"/>
          <w:szCs w:val="24"/>
        </w:rPr>
        <w:t xml:space="preserve">McWilliams, A. and Siegel, D. (1997) ‘Corporate social responsibility and financial performance: correlation or misspecification?’, </w:t>
      </w:r>
      <w:r w:rsidRPr="00337530">
        <w:rPr>
          <w:rFonts w:cs="Times New Roman"/>
          <w:i/>
          <w:iCs/>
          <w:szCs w:val="24"/>
        </w:rPr>
        <w:t>Strategic Management Journal</w:t>
      </w:r>
      <w:r w:rsidRPr="00337530">
        <w:rPr>
          <w:rFonts w:cs="Times New Roman"/>
          <w:szCs w:val="24"/>
        </w:rPr>
        <w:t xml:space="preserve">, 21(5), pp. 603–609. Available at: </w:t>
      </w:r>
      <w:hyperlink r:id="rId71" w:tgtFrame="_new" w:history="1">
        <w:r w:rsidRPr="00337530">
          <w:rPr>
            <w:rStyle w:val="Hyperlink"/>
            <w:rFonts w:cs="Times New Roman"/>
            <w:szCs w:val="24"/>
          </w:rPr>
          <w:t>https://doi.org/10.1002/(SICI)1097-0266(200005)21:5</w:t>
        </w:r>
      </w:hyperlink>
      <w:r w:rsidRPr="00337530">
        <w:rPr>
          <w:rFonts w:cs="Times New Roman"/>
          <w:szCs w:val="24"/>
        </w:rPr>
        <w:t>&lt;</w:t>
      </w:r>
      <w:proofErr w:type="gramStart"/>
      <w:r w:rsidRPr="00337530">
        <w:rPr>
          <w:rFonts w:cs="Times New Roman"/>
          <w:szCs w:val="24"/>
        </w:rPr>
        <w:t>603::</w:t>
      </w:r>
      <w:proofErr w:type="gramEnd"/>
      <w:r w:rsidRPr="00337530">
        <w:rPr>
          <w:rFonts w:cs="Times New Roman"/>
          <w:szCs w:val="24"/>
        </w:rPr>
        <w:t>AID-SMJ101&gt;3.0.CO;2-3</w:t>
      </w:r>
    </w:p>
    <w:p w14:paraId="2F7788C7" w14:textId="77777777" w:rsidR="00337530" w:rsidRPr="00337530" w:rsidRDefault="00337530" w:rsidP="00337530">
      <w:pPr>
        <w:ind w:left="720" w:hanging="720"/>
        <w:rPr>
          <w:rFonts w:cs="Times New Roman"/>
          <w:szCs w:val="24"/>
        </w:rPr>
      </w:pPr>
      <w:r w:rsidRPr="00337530">
        <w:rPr>
          <w:rFonts w:cs="Times New Roman"/>
          <w:szCs w:val="24"/>
        </w:rPr>
        <w:t xml:space="preserve">Mishra, P. and Shukla, B. (2024) ‘Does climate governance moderate the relationship between ESG reporting and firm value? Empirical evidence from India’, </w:t>
      </w:r>
      <w:r w:rsidRPr="00337530">
        <w:rPr>
          <w:rFonts w:cs="Times New Roman"/>
          <w:i/>
          <w:iCs/>
          <w:szCs w:val="24"/>
        </w:rPr>
        <w:t>International Review of Financial Analysis</w:t>
      </w:r>
      <w:r w:rsidRPr="00337530">
        <w:rPr>
          <w:rFonts w:cs="Times New Roman"/>
          <w:szCs w:val="24"/>
        </w:rPr>
        <w:t xml:space="preserve">, 93, p. 103190. Available at: </w:t>
      </w:r>
      <w:hyperlink r:id="rId72" w:tgtFrame="_new" w:history="1">
        <w:r w:rsidRPr="00337530">
          <w:rPr>
            <w:rStyle w:val="Hyperlink"/>
            <w:rFonts w:cs="Times New Roman"/>
            <w:szCs w:val="24"/>
          </w:rPr>
          <w:t>https://doi.org/10.1016/j.irfa.2024.103190</w:t>
        </w:r>
      </w:hyperlink>
    </w:p>
    <w:p w14:paraId="17C7182E" w14:textId="77777777" w:rsidR="00337530" w:rsidRPr="00337530" w:rsidRDefault="00337530" w:rsidP="00337530">
      <w:pPr>
        <w:ind w:left="720" w:hanging="720"/>
        <w:rPr>
          <w:rFonts w:cs="Times New Roman"/>
          <w:szCs w:val="24"/>
        </w:rPr>
      </w:pPr>
      <w:r w:rsidRPr="00337530">
        <w:rPr>
          <w:rFonts w:cs="Times New Roman"/>
          <w:szCs w:val="24"/>
        </w:rPr>
        <w:t xml:space="preserve">Modigliani, F. and Miller, M.H. (1958) ‘The cost of capital, corporation finance and the theory of investment’, </w:t>
      </w:r>
      <w:r w:rsidRPr="00337530">
        <w:rPr>
          <w:rFonts w:cs="Times New Roman"/>
          <w:i/>
          <w:iCs/>
          <w:szCs w:val="24"/>
        </w:rPr>
        <w:t>The American Economic Review</w:t>
      </w:r>
      <w:r w:rsidRPr="00337530">
        <w:rPr>
          <w:rFonts w:cs="Times New Roman"/>
          <w:szCs w:val="24"/>
        </w:rPr>
        <w:t xml:space="preserve">, 48(3), pp. 261–297. Available at: </w:t>
      </w:r>
      <w:hyperlink r:id="rId73" w:tgtFrame="_new" w:history="1">
        <w:r w:rsidRPr="00337530">
          <w:rPr>
            <w:rStyle w:val="Hyperlink"/>
            <w:rFonts w:cs="Times New Roman"/>
            <w:szCs w:val="24"/>
          </w:rPr>
          <w:t>https://www.jstor.org/stable/1809766</w:t>
        </w:r>
      </w:hyperlink>
    </w:p>
    <w:p w14:paraId="4BF7670A" w14:textId="77777777" w:rsidR="00337530" w:rsidRPr="00337530" w:rsidRDefault="00337530" w:rsidP="00337530">
      <w:pPr>
        <w:ind w:left="720" w:hanging="720"/>
        <w:rPr>
          <w:rFonts w:cs="Times New Roman"/>
          <w:szCs w:val="24"/>
        </w:rPr>
      </w:pPr>
      <w:r w:rsidRPr="00337530">
        <w:rPr>
          <w:rFonts w:cs="Times New Roman"/>
          <w:szCs w:val="24"/>
        </w:rPr>
        <w:t xml:space="preserve">Moussa, A.S. and </w:t>
      </w:r>
      <w:proofErr w:type="spellStart"/>
      <w:r w:rsidRPr="00337530">
        <w:rPr>
          <w:rFonts w:cs="Times New Roman"/>
          <w:szCs w:val="24"/>
        </w:rPr>
        <w:t>Elmarzouky</w:t>
      </w:r>
      <w:proofErr w:type="spellEnd"/>
      <w:r w:rsidRPr="00337530">
        <w:rPr>
          <w:rFonts w:cs="Times New Roman"/>
          <w:szCs w:val="24"/>
        </w:rPr>
        <w:t xml:space="preserve">, M. (2024) ‘Beyond compliance: how ESG reporting influences the cost of capital in UK firms’, </w:t>
      </w:r>
      <w:r w:rsidRPr="00337530">
        <w:rPr>
          <w:rFonts w:cs="Times New Roman"/>
          <w:i/>
          <w:iCs/>
          <w:szCs w:val="24"/>
        </w:rPr>
        <w:t>Journal of Risk and Financial Management</w:t>
      </w:r>
      <w:r w:rsidRPr="00337530">
        <w:rPr>
          <w:rFonts w:cs="Times New Roman"/>
          <w:szCs w:val="24"/>
        </w:rPr>
        <w:t xml:space="preserve">, 17(8), p. 326. Available at: </w:t>
      </w:r>
      <w:hyperlink r:id="rId74" w:tgtFrame="_new" w:history="1">
        <w:r w:rsidRPr="00337530">
          <w:rPr>
            <w:rStyle w:val="Hyperlink"/>
            <w:rFonts w:cs="Times New Roman"/>
            <w:szCs w:val="24"/>
          </w:rPr>
          <w:t>https://doi.org/10.3390/jrfm17080326</w:t>
        </w:r>
      </w:hyperlink>
    </w:p>
    <w:p w14:paraId="6D38CBAA" w14:textId="77777777" w:rsidR="00337530" w:rsidRPr="00337530" w:rsidRDefault="00337530" w:rsidP="00337530">
      <w:pPr>
        <w:ind w:left="720" w:hanging="720"/>
        <w:rPr>
          <w:rFonts w:cs="Times New Roman"/>
          <w:szCs w:val="24"/>
        </w:rPr>
      </w:pPr>
      <w:r w:rsidRPr="00337530">
        <w:rPr>
          <w:rFonts w:cs="Times New Roman"/>
          <w:szCs w:val="24"/>
        </w:rPr>
        <w:t xml:space="preserve">Muriithi, S.M. and Waweru, N.M. (2022) ‘Sustainability reporting practices and corporate value in Kenya: evidence from the Nairobi Securities Exchange’, </w:t>
      </w:r>
      <w:r w:rsidRPr="00337530">
        <w:rPr>
          <w:rFonts w:cs="Times New Roman"/>
          <w:i/>
          <w:iCs/>
          <w:szCs w:val="24"/>
        </w:rPr>
        <w:t>Journal of Financial Reporting and Accounting</w:t>
      </w:r>
      <w:r w:rsidRPr="00337530">
        <w:rPr>
          <w:rFonts w:cs="Times New Roman"/>
          <w:szCs w:val="24"/>
        </w:rPr>
        <w:t xml:space="preserve">, 20(2), pp. 1–20. Available at: </w:t>
      </w:r>
      <w:hyperlink r:id="rId75" w:tgtFrame="_new" w:history="1">
        <w:r w:rsidRPr="00337530">
          <w:rPr>
            <w:rStyle w:val="Hyperlink"/>
            <w:rFonts w:cs="Times New Roman"/>
            <w:szCs w:val="24"/>
          </w:rPr>
          <w:t>https://doi.org/10.1108/JFRA-02-2021-0046</w:t>
        </w:r>
      </w:hyperlink>
    </w:p>
    <w:p w14:paraId="16CEC1C0" w14:textId="77777777" w:rsidR="00113229" w:rsidRPr="00113229" w:rsidRDefault="00113229" w:rsidP="00113229">
      <w:pPr>
        <w:ind w:left="720" w:hanging="720"/>
        <w:rPr>
          <w:rFonts w:cs="Times New Roman"/>
          <w:szCs w:val="24"/>
        </w:rPr>
      </w:pPr>
      <w:r w:rsidRPr="00113229">
        <w:rPr>
          <w:rFonts w:cs="Times New Roman"/>
          <w:szCs w:val="24"/>
        </w:rPr>
        <w:t xml:space="preserve">Nairobi Securities Exchange (2022) </w:t>
      </w:r>
      <w:r w:rsidRPr="00113229">
        <w:rPr>
          <w:rFonts w:cs="Times New Roman"/>
          <w:i/>
          <w:iCs/>
          <w:szCs w:val="24"/>
        </w:rPr>
        <w:t>NSE ESG disclosures guidance manual</w:t>
      </w:r>
      <w:r w:rsidRPr="00113229">
        <w:rPr>
          <w:rFonts w:cs="Times New Roman"/>
          <w:szCs w:val="24"/>
        </w:rPr>
        <w:t xml:space="preserve"> [online]. Available at: </w:t>
      </w:r>
      <w:hyperlink r:id="rId76" w:tgtFrame="_new" w:history="1">
        <w:r w:rsidRPr="00113229">
          <w:rPr>
            <w:rStyle w:val="Hyperlink"/>
            <w:rFonts w:cs="Times New Roman"/>
            <w:szCs w:val="24"/>
          </w:rPr>
          <w:t>https://www.nse.co.ke</w:t>
        </w:r>
      </w:hyperlink>
    </w:p>
    <w:p w14:paraId="14EB9734" w14:textId="77777777" w:rsidR="00113229" w:rsidRPr="00113229" w:rsidRDefault="00113229" w:rsidP="00113229">
      <w:pPr>
        <w:ind w:left="720" w:hanging="720"/>
        <w:rPr>
          <w:rFonts w:cs="Times New Roman"/>
          <w:szCs w:val="24"/>
        </w:rPr>
      </w:pPr>
      <w:r w:rsidRPr="00113229">
        <w:rPr>
          <w:rFonts w:cs="Times New Roman"/>
          <w:szCs w:val="24"/>
        </w:rPr>
        <w:t xml:space="preserve">Narula, R., Rao-Melacini, P. and Rao, A.A. (2023) ‘Impact of ESG on firm value: a conceptual review of the literature’, </w:t>
      </w:r>
      <w:r w:rsidRPr="00113229">
        <w:rPr>
          <w:rFonts w:cs="Times New Roman"/>
          <w:i/>
          <w:iCs/>
          <w:szCs w:val="24"/>
        </w:rPr>
        <w:t>Journal of Social and Economic Development</w:t>
      </w:r>
      <w:r w:rsidRPr="00113229">
        <w:rPr>
          <w:rFonts w:cs="Times New Roman"/>
          <w:szCs w:val="24"/>
        </w:rPr>
        <w:t xml:space="preserve">, 25(2), pp. 162–179. Available at: </w:t>
      </w:r>
      <w:hyperlink r:id="rId77" w:tgtFrame="_new" w:history="1">
        <w:r w:rsidRPr="00113229">
          <w:rPr>
            <w:rStyle w:val="Hyperlink"/>
            <w:rFonts w:cs="Times New Roman"/>
            <w:szCs w:val="24"/>
          </w:rPr>
          <w:t>https://doi.org/10.1007/s40847-023-00267-8</w:t>
        </w:r>
      </w:hyperlink>
    </w:p>
    <w:p w14:paraId="2D145F10" w14:textId="77777777" w:rsidR="00113229" w:rsidRPr="00113229" w:rsidRDefault="00113229" w:rsidP="00113229">
      <w:pPr>
        <w:ind w:left="720" w:hanging="720"/>
        <w:rPr>
          <w:rFonts w:cs="Times New Roman"/>
          <w:szCs w:val="24"/>
        </w:rPr>
      </w:pPr>
      <w:r w:rsidRPr="00113229">
        <w:rPr>
          <w:rFonts w:cs="Times New Roman"/>
          <w:szCs w:val="24"/>
        </w:rPr>
        <w:t xml:space="preserve">Njoroge, P. and Kinoti, M. (2023) ‘ESG reporting and investor decision-making in the Nairobi Securities Exchange’, </w:t>
      </w:r>
      <w:r w:rsidRPr="00113229">
        <w:rPr>
          <w:rFonts w:cs="Times New Roman"/>
          <w:i/>
          <w:iCs/>
          <w:szCs w:val="24"/>
        </w:rPr>
        <w:t>African Journal of Business Management</w:t>
      </w:r>
      <w:r w:rsidRPr="00113229">
        <w:rPr>
          <w:rFonts w:cs="Times New Roman"/>
          <w:szCs w:val="24"/>
        </w:rPr>
        <w:t xml:space="preserve">, 17(4), pp. 68–79. Available at: </w:t>
      </w:r>
      <w:hyperlink r:id="rId78" w:tgtFrame="_new" w:history="1">
        <w:r w:rsidRPr="00113229">
          <w:rPr>
            <w:rStyle w:val="Hyperlink"/>
            <w:rFonts w:cs="Times New Roman"/>
            <w:szCs w:val="24"/>
          </w:rPr>
          <w:t>https://doi.org/10.5897/AJBM</w:t>
        </w:r>
      </w:hyperlink>
    </w:p>
    <w:p w14:paraId="018FB2FF" w14:textId="77777777" w:rsidR="00113229" w:rsidRPr="00113229" w:rsidRDefault="00113229" w:rsidP="00113229">
      <w:pPr>
        <w:ind w:left="720" w:hanging="720"/>
        <w:rPr>
          <w:rFonts w:cs="Times New Roman"/>
          <w:szCs w:val="24"/>
        </w:rPr>
      </w:pPr>
      <w:r w:rsidRPr="00113229">
        <w:rPr>
          <w:rFonts w:cs="Times New Roman"/>
          <w:szCs w:val="24"/>
        </w:rPr>
        <w:t xml:space="preserve">Nollet, J., Filis, G. and </w:t>
      </w:r>
      <w:proofErr w:type="spellStart"/>
      <w:r w:rsidRPr="00113229">
        <w:rPr>
          <w:rFonts w:cs="Times New Roman"/>
          <w:szCs w:val="24"/>
        </w:rPr>
        <w:t>Mitrokostas</w:t>
      </w:r>
      <w:proofErr w:type="spellEnd"/>
      <w:r w:rsidRPr="00113229">
        <w:rPr>
          <w:rFonts w:cs="Times New Roman"/>
          <w:szCs w:val="24"/>
        </w:rPr>
        <w:t xml:space="preserve">, E. (2016) ‘Corporate social responsibility and financial performance: a non-linear and disaggregated approach’, </w:t>
      </w:r>
      <w:r w:rsidRPr="00113229">
        <w:rPr>
          <w:rFonts w:cs="Times New Roman"/>
          <w:i/>
          <w:iCs/>
          <w:szCs w:val="24"/>
        </w:rPr>
        <w:t>Economic Modelling</w:t>
      </w:r>
      <w:r w:rsidRPr="00113229">
        <w:rPr>
          <w:rFonts w:cs="Times New Roman"/>
          <w:szCs w:val="24"/>
        </w:rPr>
        <w:t xml:space="preserve">, 52(B), pp. 400–407. Available at: </w:t>
      </w:r>
      <w:hyperlink r:id="rId79" w:tgtFrame="_new" w:history="1">
        <w:r w:rsidRPr="00113229">
          <w:rPr>
            <w:rStyle w:val="Hyperlink"/>
            <w:rFonts w:cs="Times New Roman"/>
            <w:szCs w:val="24"/>
          </w:rPr>
          <w:t>https://doi.org/10.1016/j.econmod.2015.09.019</w:t>
        </w:r>
      </w:hyperlink>
    </w:p>
    <w:p w14:paraId="00D28D60" w14:textId="77777777" w:rsidR="00113229" w:rsidRPr="00113229" w:rsidRDefault="00113229" w:rsidP="00113229">
      <w:pPr>
        <w:ind w:left="720" w:hanging="720"/>
        <w:rPr>
          <w:rFonts w:cs="Times New Roman"/>
          <w:szCs w:val="24"/>
        </w:rPr>
      </w:pPr>
      <w:r w:rsidRPr="00113229">
        <w:rPr>
          <w:rFonts w:cs="Times New Roman"/>
          <w:szCs w:val="24"/>
        </w:rPr>
        <w:lastRenderedPageBreak/>
        <w:t xml:space="preserve">Numan, A., Wang, M., Luo, Z. and Shao, X. (2023) ‘An analysis on the relationship between ESG information disclosure and enterprise value: a case of listed companies in the energy industry in China’, </w:t>
      </w:r>
      <w:r w:rsidRPr="00113229">
        <w:rPr>
          <w:rFonts w:cs="Times New Roman"/>
          <w:i/>
          <w:iCs/>
          <w:szCs w:val="24"/>
        </w:rPr>
        <w:t>Cogent Business &amp; Management</w:t>
      </w:r>
      <w:r w:rsidRPr="00113229">
        <w:rPr>
          <w:rFonts w:cs="Times New Roman"/>
          <w:szCs w:val="24"/>
        </w:rPr>
        <w:t xml:space="preserve">, 10(3), p. 2207685. Available at: </w:t>
      </w:r>
      <w:hyperlink r:id="rId80" w:tgtFrame="_new" w:history="1">
        <w:r w:rsidRPr="00113229">
          <w:rPr>
            <w:rStyle w:val="Hyperlink"/>
            <w:rFonts w:cs="Times New Roman"/>
            <w:szCs w:val="24"/>
          </w:rPr>
          <w:t>https://doi.org/10.1080/23311975.2023.2207685</w:t>
        </w:r>
      </w:hyperlink>
    </w:p>
    <w:p w14:paraId="288639D9" w14:textId="77777777" w:rsidR="00113229" w:rsidRPr="00113229" w:rsidRDefault="00113229" w:rsidP="00113229">
      <w:pPr>
        <w:ind w:left="720" w:hanging="720"/>
        <w:rPr>
          <w:rFonts w:cs="Times New Roman"/>
          <w:szCs w:val="24"/>
        </w:rPr>
      </w:pPr>
      <w:r w:rsidRPr="00113229">
        <w:rPr>
          <w:rFonts w:cs="Times New Roman"/>
          <w:szCs w:val="24"/>
        </w:rPr>
        <w:t xml:space="preserve">Omar, B.F. (2025) ‘ESG practices and firm value in emerging markets: evidence from the Middle East and North Africa’, </w:t>
      </w:r>
      <w:r w:rsidRPr="00113229">
        <w:rPr>
          <w:rFonts w:cs="Times New Roman"/>
          <w:i/>
          <w:iCs/>
          <w:szCs w:val="24"/>
        </w:rPr>
        <w:t>Journal of Sustainable Finance &amp; Investment</w:t>
      </w:r>
      <w:r w:rsidRPr="00113229">
        <w:rPr>
          <w:rFonts w:cs="Times New Roman"/>
          <w:szCs w:val="24"/>
        </w:rPr>
        <w:t xml:space="preserve">. Available at: </w:t>
      </w:r>
      <w:hyperlink r:id="rId81" w:tgtFrame="_new" w:history="1">
        <w:r w:rsidRPr="00113229">
          <w:rPr>
            <w:rStyle w:val="Hyperlink"/>
            <w:rFonts w:cs="Times New Roman"/>
            <w:szCs w:val="24"/>
          </w:rPr>
          <w:t>https://doi.org/10.1080/20430795.2025.xxxxxx</w:t>
        </w:r>
      </w:hyperlink>
    </w:p>
    <w:p w14:paraId="406611FC" w14:textId="77777777" w:rsidR="00113229" w:rsidRPr="00113229" w:rsidRDefault="00113229" w:rsidP="00113229">
      <w:pPr>
        <w:ind w:left="720" w:hanging="720"/>
        <w:rPr>
          <w:rFonts w:cs="Times New Roman"/>
          <w:szCs w:val="24"/>
        </w:rPr>
      </w:pPr>
      <w:r w:rsidRPr="00113229">
        <w:rPr>
          <w:rFonts w:cs="Times New Roman"/>
          <w:szCs w:val="24"/>
        </w:rPr>
        <w:t xml:space="preserve">Omondi, M.M. and Muturi, W. (2013) ‘Factors affecting the financial performance of listed companies at the Nairobi Securities Exchange in Kenya’, </w:t>
      </w:r>
      <w:r w:rsidRPr="00113229">
        <w:rPr>
          <w:rFonts w:cs="Times New Roman"/>
          <w:i/>
          <w:iCs/>
          <w:szCs w:val="24"/>
        </w:rPr>
        <w:t>Research Journal of Finance and Accounting</w:t>
      </w:r>
      <w:r w:rsidRPr="00113229">
        <w:rPr>
          <w:rFonts w:cs="Times New Roman"/>
          <w:szCs w:val="24"/>
        </w:rPr>
        <w:t>, 4(15), pp. 99–104</w:t>
      </w:r>
    </w:p>
    <w:p w14:paraId="26CCBB11" w14:textId="77777777" w:rsidR="00113229" w:rsidRPr="00113229" w:rsidRDefault="00113229" w:rsidP="00113229">
      <w:pPr>
        <w:ind w:left="720" w:hanging="720"/>
        <w:rPr>
          <w:rFonts w:cs="Times New Roman"/>
          <w:szCs w:val="24"/>
        </w:rPr>
      </w:pPr>
      <w:r w:rsidRPr="00113229">
        <w:rPr>
          <w:rFonts w:cs="Times New Roman"/>
          <w:szCs w:val="24"/>
        </w:rPr>
        <w:t xml:space="preserve">Orlitzky, M., Schmidt, F.L. and Rynes, S.L. (2003) ‘Corporate social and financial performance: a meta-analysis’, </w:t>
      </w:r>
      <w:r w:rsidRPr="00113229">
        <w:rPr>
          <w:rFonts w:cs="Times New Roman"/>
          <w:i/>
          <w:iCs/>
          <w:szCs w:val="24"/>
        </w:rPr>
        <w:t>Organization Studies</w:t>
      </w:r>
      <w:r w:rsidRPr="00113229">
        <w:rPr>
          <w:rFonts w:cs="Times New Roman"/>
          <w:szCs w:val="24"/>
        </w:rPr>
        <w:t xml:space="preserve">, 24(3), pp. 403–441. Available at: </w:t>
      </w:r>
      <w:hyperlink r:id="rId82" w:tgtFrame="_new" w:history="1">
        <w:r w:rsidRPr="00113229">
          <w:rPr>
            <w:rStyle w:val="Hyperlink"/>
            <w:rFonts w:cs="Times New Roman"/>
            <w:szCs w:val="24"/>
          </w:rPr>
          <w:t>https://doi.org/10.1177/0170840603024003910</w:t>
        </w:r>
      </w:hyperlink>
    </w:p>
    <w:p w14:paraId="17313420" w14:textId="77777777" w:rsidR="00113229" w:rsidRPr="00113229" w:rsidRDefault="00113229" w:rsidP="00113229">
      <w:pPr>
        <w:ind w:left="720" w:hanging="720"/>
        <w:rPr>
          <w:rFonts w:cs="Times New Roman"/>
          <w:szCs w:val="24"/>
        </w:rPr>
      </w:pPr>
      <w:r w:rsidRPr="00113229">
        <w:rPr>
          <w:rFonts w:cs="Times New Roman"/>
          <w:szCs w:val="24"/>
        </w:rPr>
        <w:t xml:space="preserve">Porter, M.E. and Kramer, M.R. (2011) ‘Creating shared value’, </w:t>
      </w:r>
      <w:r w:rsidRPr="00113229">
        <w:rPr>
          <w:rFonts w:cs="Times New Roman"/>
          <w:i/>
          <w:iCs/>
          <w:szCs w:val="24"/>
        </w:rPr>
        <w:t>Harvard Business Review</w:t>
      </w:r>
      <w:r w:rsidRPr="00113229">
        <w:rPr>
          <w:rFonts w:cs="Times New Roman"/>
          <w:szCs w:val="24"/>
        </w:rPr>
        <w:t xml:space="preserve">, 89(1/2), pp. 62–77. Available at: </w:t>
      </w:r>
      <w:hyperlink r:id="rId83" w:tgtFrame="_new" w:history="1">
        <w:r w:rsidRPr="00113229">
          <w:rPr>
            <w:rStyle w:val="Hyperlink"/>
            <w:rFonts w:cs="Times New Roman"/>
            <w:szCs w:val="24"/>
          </w:rPr>
          <w:t>https://hbr.org/2011/01/the-big-idea-creating-shared-value</w:t>
        </w:r>
      </w:hyperlink>
    </w:p>
    <w:p w14:paraId="55A964E6" w14:textId="77777777" w:rsidR="00113229" w:rsidRPr="00113229" w:rsidRDefault="00113229" w:rsidP="00113229">
      <w:pPr>
        <w:ind w:left="720" w:hanging="720"/>
        <w:rPr>
          <w:rFonts w:cs="Times New Roman"/>
          <w:szCs w:val="24"/>
        </w:rPr>
      </w:pPr>
      <w:r w:rsidRPr="00113229">
        <w:rPr>
          <w:rFonts w:cs="Times New Roman"/>
          <w:szCs w:val="24"/>
        </w:rPr>
        <w:t xml:space="preserve">Postiglione, M., Carini, C. and Falini, A. (2024) ‘ESG and firm value: a hybrid literature review on cost of capital implications from Scopus database’, </w:t>
      </w:r>
      <w:r w:rsidRPr="00113229">
        <w:rPr>
          <w:rFonts w:cs="Times New Roman"/>
          <w:i/>
          <w:iCs/>
          <w:szCs w:val="24"/>
        </w:rPr>
        <w:t>Corporate Social Responsibility and Environmental Management</w:t>
      </w:r>
      <w:r w:rsidRPr="00113229">
        <w:rPr>
          <w:rFonts w:cs="Times New Roman"/>
          <w:szCs w:val="24"/>
        </w:rPr>
        <w:t xml:space="preserve">, 45(2), pp. 119–127. Available at: </w:t>
      </w:r>
      <w:hyperlink r:id="rId84" w:tgtFrame="_new" w:history="1">
        <w:r w:rsidRPr="00113229">
          <w:rPr>
            <w:rStyle w:val="Hyperlink"/>
            <w:rFonts w:cs="Times New Roman"/>
            <w:szCs w:val="24"/>
          </w:rPr>
          <w:t>https://doi.org/10.1002/csr.2940</w:t>
        </w:r>
      </w:hyperlink>
    </w:p>
    <w:p w14:paraId="5E90AB03" w14:textId="77777777" w:rsidR="00113229" w:rsidRPr="00113229" w:rsidRDefault="00113229" w:rsidP="00113229">
      <w:pPr>
        <w:ind w:left="720" w:hanging="720"/>
        <w:rPr>
          <w:rFonts w:cs="Times New Roman"/>
          <w:szCs w:val="24"/>
        </w:rPr>
      </w:pPr>
      <w:r w:rsidRPr="00113229">
        <w:rPr>
          <w:rFonts w:cs="Times New Roman"/>
          <w:szCs w:val="24"/>
        </w:rPr>
        <w:t xml:space="preserve">Ross, S.A. (1977) ‘The determination of financial structure: the incentive-signalling approach’, </w:t>
      </w:r>
      <w:r w:rsidRPr="00113229">
        <w:rPr>
          <w:rFonts w:cs="Times New Roman"/>
          <w:i/>
          <w:iCs/>
          <w:szCs w:val="24"/>
        </w:rPr>
        <w:t>The Bell Journal of Economics</w:t>
      </w:r>
      <w:r w:rsidRPr="00113229">
        <w:rPr>
          <w:rFonts w:cs="Times New Roman"/>
          <w:szCs w:val="24"/>
        </w:rPr>
        <w:t xml:space="preserve">, 8(1), pp. 23–40. Available at: </w:t>
      </w:r>
      <w:hyperlink r:id="rId85" w:tgtFrame="_new" w:history="1">
        <w:r w:rsidRPr="00113229">
          <w:rPr>
            <w:rStyle w:val="Hyperlink"/>
            <w:rFonts w:cs="Times New Roman"/>
            <w:szCs w:val="24"/>
          </w:rPr>
          <w:t>https://doi.org/10.2307/3003485</w:t>
        </w:r>
      </w:hyperlink>
    </w:p>
    <w:p w14:paraId="6EFD7BA9" w14:textId="77777777" w:rsidR="00113229" w:rsidRPr="00113229" w:rsidRDefault="00113229" w:rsidP="00113229">
      <w:pPr>
        <w:ind w:left="720" w:hanging="720"/>
        <w:rPr>
          <w:rFonts w:cs="Times New Roman"/>
          <w:szCs w:val="24"/>
        </w:rPr>
      </w:pPr>
      <w:r w:rsidRPr="00113229">
        <w:rPr>
          <w:rFonts w:cs="Times New Roman"/>
          <w:szCs w:val="24"/>
        </w:rPr>
        <w:t xml:space="preserve">Ryan, G. (2018) ‘Introduction to positivism, interpretivism and critical theory’, </w:t>
      </w:r>
      <w:r w:rsidRPr="00113229">
        <w:rPr>
          <w:rFonts w:cs="Times New Roman"/>
          <w:i/>
          <w:iCs/>
          <w:szCs w:val="24"/>
        </w:rPr>
        <w:t>Nurse Researcher</w:t>
      </w:r>
      <w:r w:rsidRPr="00113229">
        <w:rPr>
          <w:rFonts w:cs="Times New Roman"/>
          <w:szCs w:val="24"/>
        </w:rPr>
        <w:t xml:space="preserve">, 25(4), pp. 41–49. Available at: </w:t>
      </w:r>
      <w:hyperlink r:id="rId86" w:tgtFrame="_new" w:history="1">
        <w:r w:rsidRPr="00113229">
          <w:rPr>
            <w:rStyle w:val="Hyperlink"/>
            <w:rFonts w:cs="Times New Roman"/>
            <w:szCs w:val="24"/>
          </w:rPr>
          <w:t>https://doi.org/10.7748/nr.2018.e1466</w:t>
        </w:r>
      </w:hyperlink>
    </w:p>
    <w:p w14:paraId="0D7DFFFA" w14:textId="77777777" w:rsidR="00113229" w:rsidRPr="00113229" w:rsidRDefault="00113229" w:rsidP="00113229">
      <w:pPr>
        <w:ind w:left="720" w:hanging="720"/>
        <w:rPr>
          <w:rFonts w:cs="Times New Roman"/>
          <w:szCs w:val="24"/>
        </w:rPr>
      </w:pPr>
      <w:r w:rsidRPr="00113229">
        <w:rPr>
          <w:rFonts w:cs="Times New Roman"/>
          <w:szCs w:val="24"/>
        </w:rPr>
        <w:t xml:space="preserve">Saunders, M., Lewis, P. and Thornhill, A. (2019) </w:t>
      </w:r>
      <w:r w:rsidRPr="00113229">
        <w:rPr>
          <w:rFonts w:cs="Times New Roman"/>
          <w:i/>
          <w:iCs/>
          <w:szCs w:val="24"/>
        </w:rPr>
        <w:t>Research methods for business students</w:t>
      </w:r>
      <w:r w:rsidRPr="00113229">
        <w:rPr>
          <w:rFonts w:cs="Times New Roman"/>
          <w:szCs w:val="24"/>
        </w:rPr>
        <w:t xml:space="preserve">. 8th </w:t>
      </w:r>
      <w:proofErr w:type="spellStart"/>
      <w:r w:rsidRPr="00113229">
        <w:rPr>
          <w:rFonts w:cs="Times New Roman"/>
          <w:szCs w:val="24"/>
        </w:rPr>
        <w:t>edn</w:t>
      </w:r>
      <w:proofErr w:type="spellEnd"/>
      <w:r w:rsidRPr="00113229">
        <w:rPr>
          <w:rFonts w:cs="Times New Roman"/>
          <w:szCs w:val="24"/>
        </w:rPr>
        <w:t>. Harlow: Pearson</w:t>
      </w:r>
    </w:p>
    <w:p w14:paraId="35D1DDC8" w14:textId="77777777" w:rsidR="00113229" w:rsidRPr="00113229" w:rsidRDefault="00113229" w:rsidP="00113229">
      <w:pPr>
        <w:ind w:left="720" w:hanging="720"/>
        <w:rPr>
          <w:rFonts w:cs="Times New Roman"/>
          <w:szCs w:val="24"/>
        </w:rPr>
      </w:pPr>
      <w:r w:rsidRPr="00113229">
        <w:rPr>
          <w:rFonts w:cs="Times New Roman"/>
          <w:szCs w:val="24"/>
        </w:rPr>
        <w:t xml:space="preserve">Sekaran, U. and Bougie, R. (2020) </w:t>
      </w:r>
      <w:r w:rsidRPr="00113229">
        <w:rPr>
          <w:rFonts w:cs="Times New Roman"/>
          <w:i/>
          <w:iCs/>
          <w:szCs w:val="24"/>
        </w:rPr>
        <w:t>Research methods for business: a skill-building approach</w:t>
      </w:r>
      <w:r w:rsidRPr="00113229">
        <w:rPr>
          <w:rFonts w:cs="Times New Roman"/>
          <w:szCs w:val="24"/>
        </w:rPr>
        <w:t xml:space="preserve">. 8th </w:t>
      </w:r>
      <w:proofErr w:type="spellStart"/>
      <w:r w:rsidRPr="00113229">
        <w:rPr>
          <w:rFonts w:cs="Times New Roman"/>
          <w:szCs w:val="24"/>
        </w:rPr>
        <w:t>edn</w:t>
      </w:r>
      <w:proofErr w:type="spellEnd"/>
      <w:r w:rsidRPr="00113229">
        <w:rPr>
          <w:rFonts w:cs="Times New Roman"/>
          <w:szCs w:val="24"/>
        </w:rPr>
        <w:t>. Chichester: Wiley</w:t>
      </w:r>
    </w:p>
    <w:p w14:paraId="4F3611D4" w14:textId="77777777" w:rsidR="00113229" w:rsidRPr="00113229" w:rsidRDefault="00113229" w:rsidP="00113229">
      <w:pPr>
        <w:ind w:left="720" w:hanging="720"/>
        <w:rPr>
          <w:rFonts w:cs="Times New Roman"/>
          <w:szCs w:val="24"/>
        </w:rPr>
      </w:pPr>
      <w:r w:rsidRPr="00113229">
        <w:rPr>
          <w:rFonts w:cs="Times New Roman"/>
          <w:szCs w:val="24"/>
        </w:rPr>
        <w:lastRenderedPageBreak/>
        <w:t xml:space="preserve">Serafeim, G. (2020) ‘Public sentiment and the price of corporate sustainability’, </w:t>
      </w:r>
      <w:r w:rsidRPr="00113229">
        <w:rPr>
          <w:rFonts w:cs="Times New Roman"/>
          <w:i/>
          <w:iCs/>
          <w:szCs w:val="24"/>
        </w:rPr>
        <w:t>Financial Analysts Journal</w:t>
      </w:r>
      <w:r w:rsidRPr="00113229">
        <w:rPr>
          <w:rFonts w:cs="Times New Roman"/>
          <w:szCs w:val="24"/>
        </w:rPr>
        <w:t xml:space="preserve">, 76(2), pp. 26–46. Available at: </w:t>
      </w:r>
      <w:hyperlink r:id="rId87" w:tgtFrame="_new" w:history="1">
        <w:r w:rsidRPr="00113229">
          <w:rPr>
            <w:rStyle w:val="Hyperlink"/>
            <w:rFonts w:cs="Times New Roman"/>
            <w:szCs w:val="24"/>
          </w:rPr>
          <w:t>https://doi.org/10.1080/0015198X.2020.1723390</w:t>
        </w:r>
      </w:hyperlink>
    </w:p>
    <w:p w14:paraId="6856D97D" w14:textId="77777777" w:rsidR="00113229" w:rsidRPr="00113229" w:rsidRDefault="00113229" w:rsidP="00113229">
      <w:pPr>
        <w:ind w:left="720" w:hanging="720"/>
        <w:rPr>
          <w:rFonts w:cs="Times New Roman"/>
          <w:szCs w:val="24"/>
        </w:rPr>
      </w:pPr>
      <w:r w:rsidRPr="00113229">
        <w:rPr>
          <w:rFonts w:cs="Times New Roman"/>
          <w:szCs w:val="24"/>
        </w:rPr>
        <w:t xml:space="preserve">Serem, W. (2024) ‘ESG practices and firm value: evidence from the Nairobi Securities Exchange’, </w:t>
      </w:r>
      <w:r w:rsidRPr="00113229">
        <w:rPr>
          <w:rFonts w:cs="Times New Roman"/>
          <w:i/>
          <w:iCs/>
          <w:szCs w:val="24"/>
        </w:rPr>
        <w:t>African Finance Journal</w:t>
      </w:r>
      <w:r w:rsidRPr="00113229">
        <w:rPr>
          <w:rFonts w:cs="Times New Roman"/>
          <w:szCs w:val="24"/>
        </w:rPr>
        <w:t>, 26(1), pp. 1–18</w:t>
      </w:r>
    </w:p>
    <w:p w14:paraId="66E28AB1" w14:textId="77777777" w:rsidR="00113229" w:rsidRPr="00113229" w:rsidRDefault="00113229" w:rsidP="00113229">
      <w:pPr>
        <w:ind w:left="720" w:hanging="720"/>
        <w:rPr>
          <w:rFonts w:cs="Times New Roman"/>
          <w:szCs w:val="24"/>
        </w:rPr>
      </w:pPr>
      <w:r w:rsidRPr="00113229">
        <w:rPr>
          <w:rFonts w:cs="Times New Roman"/>
          <w:szCs w:val="24"/>
        </w:rPr>
        <w:t xml:space="preserve">Sharfman, M.P. and Fernando, C.S. (2008) ‘Environmental risk management and the cost of capital’, </w:t>
      </w:r>
      <w:r w:rsidRPr="00113229">
        <w:rPr>
          <w:rFonts w:cs="Times New Roman"/>
          <w:i/>
          <w:iCs/>
          <w:szCs w:val="24"/>
        </w:rPr>
        <w:t>Strategic Management Journal</w:t>
      </w:r>
      <w:r w:rsidRPr="00113229">
        <w:rPr>
          <w:rFonts w:cs="Times New Roman"/>
          <w:szCs w:val="24"/>
        </w:rPr>
        <w:t xml:space="preserve">, 29(6), pp. 569–592. Available at: </w:t>
      </w:r>
      <w:hyperlink r:id="rId88" w:tgtFrame="_new" w:history="1">
        <w:r w:rsidRPr="00113229">
          <w:rPr>
            <w:rStyle w:val="Hyperlink"/>
            <w:rFonts w:cs="Times New Roman"/>
            <w:szCs w:val="24"/>
          </w:rPr>
          <w:t>https://doi.org/10.1002/smj.678</w:t>
        </w:r>
      </w:hyperlink>
    </w:p>
    <w:p w14:paraId="1BEF92ED" w14:textId="77777777" w:rsidR="00113229" w:rsidRPr="00113229" w:rsidRDefault="00113229" w:rsidP="00113229">
      <w:pPr>
        <w:ind w:left="720" w:hanging="720"/>
        <w:rPr>
          <w:rFonts w:cs="Times New Roman"/>
          <w:szCs w:val="24"/>
        </w:rPr>
      </w:pPr>
      <w:r w:rsidRPr="00113229">
        <w:rPr>
          <w:rFonts w:cs="Times New Roman"/>
          <w:szCs w:val="24"/>
        </w:rPr>
        <w:t xml:space="preserve">Spence, M. (1973) ‘Job market </w:t>
      </w:r>
      <w:proofErr w:type="spellStart"/>
      <w:r w:rsidRPr="00113229">
        <w:rPr>
          <w:rFonts w:cs="Times New Roman"/>
          <w:szCs w:val="24"/>
        </w:rPr>
        <w:t>signaling</w:t>
      </w:r>
      <w:proofErr w:type="spellEnd"/>
      <w:r w:rsidRPr="00113229">
        <w:rPr>
          <w:rFonts w:cs="Times New Roman"/>
          <w:szCs w:val="24"/>
        </w:rPr>
        <w:t xml:space="preserve">’, </w:t>
      </w:r>
      <w:r w:rsidRPr="00113229">
        <w:rPr>
          <w:rFonts w:cs="Times New Roman"/>
          <w:i/>
          <w:iCs/>
          <w:szCs w:val="24"/>
        </w:rPr>
        <w:t>The Quarterly Journal of Economics</w:t>
      </w:r>
      <w:r w:rsidRPr="00113229">
        <w:rPr>
          <w:rFonts w:cs="Times New Roman"/>
          <w:szCs w:val="24"/>
        </w:rPr>
        <w:t xml:space="preserve">, 87(3), pp. 355–374. Available at: </w:t>
      </w:r>
      <w:hyperlink r:id="rId89" w:tgtFrame="_new" w:history="1">
        <w:r w:rsidRPr="00113229">
          <w:rPr>
            <w:rStyle w:val="Hyperlink"/>
            <w:rFonts w:cs="Times New Roman"/>
            <w:szCs w:val="24"/>
          </w:rPr>
          <w:t>https://doi.org/10.2307/1882010</w:t>
        </w:r>
      </w:hyperlink>
    </w:p>
    <w:p w14:paraId="50E453C8" w14:textId="77777777" w:rsidR="00113229" w:rsidRPr="00113229" w:rsidRDefault="00113229" w:rsidP="00113229">
      <w:pPr>
        <w:ind w:left="720" w:hanging="720"/>
        <w:rPr>
          <w:rFonts w:cs="Times New Roman"/>
          <w:szCs w:val="24"/>
        </w:rPr>
      </w:pPr>
      <w:r w:rsidRPr="00113229">
        <w:rPr>
          <w:rFonts w:cs="Times New Roman"/>
          <w:szCs w:val="24"/>
        </w:rPr>
        <w:t xml:space="preserve">Sra, J.K., Booth, A.L. and Cox, R.A.K. (2022) ‘Voluntary carbon information disclosures, corporate-level environmental sustainability efforts and market value’, </w:t>
      </w:r>
      <w:r w:rsidRPr="00113229">
        <w:rPr>
          <w:rFonts w:cs="Times New Roman"/>
          <w:i/>
          <w:iCs/>
          <w:szCs w:val="24"/>
        </w:rPr>
        <w:t>Green Finance</w:t>
      </w:r>
      <w:r w:rsidRPr="00113229">
        <w:rPr>
          <w:rFonts w:cs="Times New Roman"/>
          <w:szCs w:val="24"/>
        </w:rPr>
        <w:t xml:space="preserve">, 4(2), pp. 179–206. Available at: </w:t>
      </w:r>
      <w:hyperlink r:id="rId90" w:tgtFrame="_new" w:history="1">
        <w:r w:rsidRPr="00113229">
          <w:rPr>
            <w:rStyle w:val="Hyperlink"/>
            <w:rFonts w:cs="Times New Roman"/>
            <w:szCs w:val="24"/>
          </w:rPr>
          <w:t>https://doi.org/10.3934/GF.2022009</w:t>
        </w:r>
      </w:hyperlink>
    </w:p>
    <w:p w14:paraId="626EF6A5" w14:textId="77777777" w:rsidR="00113229" w:rsidRPr="00113229" w:rsidRDefault="00113229" w:rsidP="00113229">
      <w:pPr>
        <w:ind w:left="720" w:hanging="720"/>
        <w:rPr>
          <w:rFonts w:cs="Times New Roman"/>
          <w:szCs w:val="24"/>
        </w:rPr>
      </w:pPr>
      <w:r w:rsidRPr="00113229">
        <w:rPr>
          <w:rFonts w:cs="Times New Roman"/>
          <w:szCs w:val="24"/>
        </w:rPr>
        <w:t xml:space="preserve">Talan, G., Sharma, G.D., Pareira, V. and </w:t>
      </w:r>
      <w:proofErr w:type="spellStart"/>
      <w:r w:rsidRPr="00113229">
        <w:rPr>
          <w:rFonts w:cs="Times New Roman"/>
          <w:szCs w:val="24"/>
        </w:rPr>
        <w:t>Muschert</w:t>
      </w:r>
      <w:proofErr w:type="spellEnd"/>
      <w:r w:rsidRPr="00113229">
        <w:rPr>
          <w:rFonts w:cs="Times New Roman"/>
          <w:szCs w:val="24"/>
        </w:rPr>
        <w:t xml:space="preserve">, G.W. (2024) ‘Proposing a “holistic value addition” framework to integrate sustainable investment utilizing stakeholder theory’, </w:t>
      </w:r>
      <w:r w:rsidRPr="00113229">
        <w:rPr>
          <w:rFonts w:cs="Times New Roman"/>
          <w:i/>
          <w:iCs/>
          <w:szCs w:val="24"/>
        </w:rPr>
        <w:t>International Review of Economics &amp; Finance</w:t>
      </w:r>
      <w:r w:rsidRPr="00113229">
        <w:rPr>
          <w:rFonts w:cs="Times New Roman"/>
          <w:szCs w:val="24"/>
        </w:rPr>
        <w:t xml:space="preserve">, 96, p. 103530. Available at: </w:t>
      </w:r>
      <w:hyperlink r:id="rId91" w:tgtFrame="_new" w:history="1">
        <w:r w:rsidRPr="00113229">
          <w:rPr>
            <w:rStyle w:val="Hyperlink"/>
            <w:rFonts w:cs="Times New Roman"/>
            <w:szCs w:val="24"/>
          </w:rPr>
          <w:t>https://doi.org/10.1016/j.iref.2024.103530</w:t>
        </w:r>
      </w:hyperlink>
    </w:p>
    <w:p w14:paraId="55F913B9" w14:textId="77777777" w:rsidR="00113229" w:rsidRPr="00113229" w:rsidRDefault="00113229" w:rsidP="00113229">
      <w:pPr>
        <w:ind w:left="720" w:hanging="720"/>
        <w:rPr>
          <w:rFonts w:cs="Times New Roman"/>
          <w:szCs w:val="24"/>
        </w:rPr>
      </w:pPr>
      <w:r w:rsidRPr="00113229">
        <w:rPr>
          <w:rFonts w:cs="Times New Roman"/>
          <w:szCs w:val="24"/>
        </w:rPr>
        <w:t xml:space="preserve">Tang, Y., Huang, D., Zhao, X. and Zhang, X. (2025) ‘From responsibility to value: ESG and long-term corporate value’, </w:t>
      </w:r>
      <w:r w:rsidRPr="00113229">
        <w:rPr>
          <w:rFonts w:cs="Times New Roman"/>
          <w:i/>
          <w:iCs/>
          <w:szCs w:val="24"/>
        </w:rPr>
        <w:t>PLOS ONE</w:t>
      </w:r>
      <w:r w:rsidRPr="00113229">
        <w:rPr>
          <w:rFonts w:cs="Times New Roman"/>
          <w:szCs w:val="24"/>
        </w:rPr>
        <w:t xml:space="preserve">, 20(4). Available at: </w:t>
      </w:r>
      <w:hyperlink r:id="rId92" w:tgtFrame="_new" w:history="1">
        <w:r w:rsidRPr="00113229">
          <w:rPr>
            <w:rStyle w:val="Hyperlink"/>
            <w:rFonts w:cs="Times New Roman"/>
            <w:szCs w:val="24"/>
          </w:rPr>
          <w:t>https://doi.org/10.1371/journal.pone.0321076</w:t>
        </w:r>
      </w:hyperlink>
    </w:p>
    <w:p w14:paraId="4F767CBE" w14:textId="77777777" w:rsidR="00113229" w:rsidRPr="00113229" w:rsidRDefault="00113229" w:rsidP="00113229">
      <w:pPr>
        <w:ind w:left="720" w:hanging="720"/>
        <w:rPr>
          <w:rFonts w:cs="Times New Roman"/>
          <w:szCs w:val="24"/>
        </w:rPr>
      </w:pPr>
      <w:r w:rsidRPr="00113229">
        <w:rPr>
          <w:rFonts w:cs="Times New Roman"/>
          <w:szCs w:val="24"/>
        </w:rPr>
        <w:t xml:space="preserve">United Nations Conference on Trade and Development (2021) </w:t>
      </w:r>
      <w:r w:rsidRPr="00113229">
        <w:rPr>
          <w:rFonts w:cs="Times New Roman"/>
          <w:i/>
          <w:iCs/>
          <w:szCs w:val="24"/>
        </w:rPr>
        <w:t>World investment report 2021: investing in sustainable recovery</w:t>
      </w:r>
      <w:r w:rsidRPr="00113229">
        <w:rPr>
          <w:rFonts w:cs="Times New Roman"/>
          <w:szCs w:val="24"/>
        </w:rPr>
        <w:t xml:space="preserve"> [online]. Available at: </w:t>
      </w:r>
      <w:hyperlink r:id="rId93" w:tgtFrame="_new" w:history="1">
        <w:r w:rsidRPr="00113229">
          <w:rPr>
            <w:rStyle w:val="Hyperlink"/>
            <w:rFonts w:cs="Times New Roman"/>
            <w:szCs w:val="24"/>
          </w:rPr>
          <w:t>https://unctad.org/system/files/official-document/wir2021_en.pdf</w:t>
        </w:r>
      </w:hyperlink>
    </w:p>
    <w:p w14:paraId="0F9C6B61" w14:textId="77777777" w:rsidR="00113229" w:rsidRPr="00113229" w:rsidRDefault="00113229" w:rsidP="00113229">
      <w:pPr>
        <w:ind w:left="720" w:hanging="720"/>
        <w:rPr>
          <w:rFonts w:cs="Times New Roman"/>
          <w:szCs w:val="24"/>
        </w:rPr>
      </w:pPr>
      <w:r w:rsidRPr="00113229">
        <w:rPr>
          <w:rFonts w:cs="Times New Roman"/>
          <w:szCs w:val="24"/>
        </w:rPr>
        <w:t xml:space="preserve">Velte, P. (2022) ‘Does ESG performance have an impact on financial performance? Evidence from Germany’, </w:t>
      </w:r>
      <w:r w:rsidRPr="00113229">
        <w:rPr>
          <w:rFonts w:cs="Times New Roman"/>
          <w:i/>
          <w:iCs/>
          <w:szCs w:val="24"/>
        </w:rPr>
        <w:t>Journal of Global Responsibility</w:t>
      </w:r>
      <w:r w:rsidRPr="00113229">
        <w:rPr>
          <w:rFonts w:cs="Times New Roman"/>
          <w:szCs w:val="24"/>
        </w:rPr>
        <w:t xml:space="preserve">, 8(2), pp. 169–178. Available at: </w:t>
      </w:r>
      <w:hyperlink r:id="rId94" w:tgtFrame="_new" w:history="1">
        <w:r w:rsidRPr="00113229">
          <w:rPr>
            <w:rStyle w:val="Hyperlink"/>
            <w:rFonts w:cs="Times New Roman"/>
            <w:szCs w:val="24"/>
          </w:rPr>
          <w:t>https://doi.org/10.1108/JGR-11-2016-0029</w:t>
        </w:r>
      </w:hyperlink>
    </w:p>
    <w:p w14:paraId="7ED0205B" w14:textId="77777777" w:rsidR="00113229" w:rsidRPr="00113229" w:rsidRDefault="00113229" w:rsidP="00113229">
      <w:pPr>
        <w:ind w:left="720" w:hanging="720"/>
        <w:rPr>
          <w:rFonts w:cs="Times New Roman"/>
          <w:szCs w:val="24"/>
        </w:rPr>
      </w:pPr>
      <w:r w:rsidRPr="00113229">
        <w:rPr>
          <w:rFonts w:cs="Times New Roman"/>
          <w:szCs w:val="24"/>
        </w:rPr>
        <w:t xml:space="preserve">Whelan, T., Atz, U., Van Holt, T. and Clark, C. (2021) </w:t>
      </w:r>
      <w:r w:rsidRPr="00113229">
        <w:rPr>
          <w:rFonts w:cs="Times New Roman"/>
          <w:i/>
          <w:iCs/>
          <w:szCs w:val="24"/>
        </w:rPr>
        <w:t>ESG and financial performance: uncovering the relationship by aggregating evidence from 1,000 plus sources</w:t>
      </w:r>
      <w:r w:rsidRPr="00113229">
        <w:rPr>
          <w:rFonts w:cs="Times New Roman"/>
          <w:szCs w:val="24"/>
        </w:rPr>
        <w:t xml:space="preserve"> [online]. NYU Stern </w:t>
      </w:r>
      <w:proofErr w:type="spellStart"/>
      <w:r w:rsidRPr="00113229">
        <w:rPr>
          <w:rFonts w:cs="Times New Roman"/>
          <w:szCs w:val="24"/>
        </w:rPr>
        <w:t>Center</w:t>
      </w:r>
      <w:proofErr w:type="spellEnd"/>
      <w:r w:rsidRPr="00113229">
        <w:rPr>
          <w:rFonts w:cs="Times New Roman"/>
          <w:szCs w:val="24"/>
        </w:rPr>
        <w:t xml:space="preserve"> for Sustainable Business &amp; Rockefeller Asset Management. Available at: </w:t>
      </w:r>
      <w:hyperlink r:id="rId95" w:tgtFrame="_new" w:history="1">
        <w:r w:rsidRPr="00113229">
          <w:rPr>
            <w:rStyle w:val="Hyperlink"/>
            <w:rFonts w:cs="Times New Roman"/>
            <w:szCs w:val="24"/>
          </w:rPr>
          <w:t>https://www.stern.nyu.edu/sites/default/files/assets/documents/ESG%20Paper.pdf</w:t>
        </w:r>
      </w:hyperlink>
    </w:p>
    <w:p w14:paraId="11764523" w14:textId="77777777" w:rsidR="00113229" w:rsidRPr="00113229" w:rsidRDefault="00113229" w:rsidP="00113229">
      <w:pPr>
        <w:ind w:left="720" w:hanging="720"/>
        <w:rPr>
          <w:rFonts w:cs="Times New Roman"/>
          <w:szCs w:val="24"/>
        </w:rPr>
      </w:pPr>
      <w:r w:rsidRPr="00113229">
        <w:rPr>
          <w:rFonts w:cs="Times New Roman"/>
          <w:szCs w:val="24"/>
        </w:rPr>
        <w:lastRenderedPageBreak/>
        <w:t xml:space="preserve">Wong, W.C., Batten, J.A., Ahmad, A.H., Mohamed-Arshad, S.B., Nordin, S. and </w:t>
      </w:r>
      <w:proofErr w:type="spellStart"/>
      <w:r w:rsidRPr="00113229">
        <w:rPr>
          <w:rFonts w:cs="Times New Roman"/>
          <w:szCs w:val="24"/>
        </w:rPr>
        <w:t>Adzis</w:t>
      </w:r>
      <w:proofErr w:type="spellEnd"/>
      <w:r w:rsidRPr="00113229">
        <w:rPr>
          <w:rFonts w:cs="Times New Roman"/>
          <w:szCs w:val="24"/>
        </w:rPr>
        <w:t xml:space="preserve">, A.A. (2020) ‘Does ESG certification add firm value?’, </w:t>
      </w:r>
      <w:r w:rsidRPr="00113229">
        <w:rPr>
          <w:rFonts w:cs="Times New Roman"/>
          <w:i/>
          <w:iCs/>
          <w:szCs w:val="24"/>
        </w:rPr>
        <w:t>Finance Research Letters</w:t>
      </w:r>
      <w:r w:rsidRPr="00113229">
        <w:rPr>
          <w:rFonts w:cs="Times New Roman"/>
          <w:szCs w:val="24"/>
        </w:rPr>
        <w:t xml:space="preserve">, 39, p. 101593. Available at: </w:t>
      </w:r>
      <w:hyperlink r:id="rId96" w:tgtFrame="_new" w:history="1">
        <w:r w:rsidRPr="00113229">
          <w:rPr>
            <w:rStyle w:val="Hyperlink"/>
            <w:rFonts w:cs="Times New Roman"/>
            <w:szCs w:val="24"/>
          </w:rPr>
          <w:t>https://doi.org/10.1016/j.frl.2020.101593</w:t>
        </w:r>
      </w:hyperlink>
    </w:p>
    <w:p w14:paraId="01470FC8" w14:textId="77777777" w:rsidR="00113229" w:rsidRPr="00113229" w:rsidRDefault="00113229" w:rsidP="00113229">
      <w:pPr>
        <w:ind w:left="720" w:hanging="720"/>
        <w:rPr>
          <w:rFonts w:cs="Times New Roman"/>
          <w:szCs w:val="24"/>
        </w:rPr>
      </w:pPr>
      <w:r w:rsidRPr="00113229">
        <w:rPr>
          <w:rFonts w:cs="Times New Roman"/>
          <w:szCs w:val="24"/>
        </w:rPr>
        <w:t xml:space="preserve">World Bank (2022) </w:t>
      </w:r>
      <w:r w:rsidRPr="00113229">
        <w:rPr>
          <w:rFonts w:cs="Times New Roman"/>
          <w:i/>
          <w:iCs/>
          <w:szCs w:val="24"/>
        </w:rPr>
        <w:t>Supporting sustainable and resilient infrastructure in developing countries</w:t>
      </w:r>
      <w:r w:rsidRPr="00113229">
        <w:rPr>
          <w:rFonts w:cs="Times New Roman"/>
          <w:szCs w:val="24"/>
        </w:rPr>
        <w:t xml:space="preserve"> [online]. Available at: </w:t>
      </w:r>
      <w:hyperlink r:id="rId97" w:tgtFrame="_new" w:history="1">
        <w:r w:rsidRPr="00113229">
          <w:rPr>
            <w:rStyle w:val="Hyperlink"/>
            <w:rFonts w:cs="Times New Roman"/>
            <w:szCs w:val="24"/>
          </w:rPr>
          <w:t>https://www.worldbank.org</w:t>
        </w:r>
      </w:hyperlink>
    </w:p>
    <w:p w14:paraId="1E352AC0" w14:textId="77777777" w:rsidR="00113229" w:rsidRPr="00113229" w:rsidRDefault="00113229" w:rsidP="00113229">
      <w:pPr>
        <w:ind w:left="720" w:hanging="720"/>
        <w:rPr>
          <w:rFonts w:cs="Times New Roman"/>
          <w:szCs w:val="24"/>
        </w:rPr>
      </w:pPr>
      <w:r w:rsidRPr="00113229">
        <w:rPr>
          <w:rFonts w:cs="Times New Roman"/>
          <w:szCs w:val="24"/>
        </w:rPr>
        <w:t xml:space="preserve">Zhang, J., Xiong, L. and Li, Z. (2022) ‘Does ESG performance affect firm value? Evidence from a new ESG-scoring approach for Chinese enterprises’, </w:t>
      </w:r>
      <w:r w:rsidRPr="00113229">
        <w:rPr>
          <w:rFonts w:cs="Times New Roman"/>
          <w:i/>
          <w:iCs/>
          <w:szCs w:val="24"/>
        </w:rPr>
        <w:t>Sustainability</w:t>
      </w:r>
      <w:r w:rsidRPr="00113229">
        <w:rPr>
          <w:rFonts w:cs="Times New Roman"/>
          <w:szCs w:val="24"/>
        </w:rPr>
        <w:t xml:space="preserve">, 14(24), p. 16940. Available at: </w:t>
      </w:r>
      <w:hyperlink r:id="rId98" w:tgtFrame="_new" w:history="1">
        <w:r w:rsidRPr="00113229">
          <w:rPr>
            <w:rStyle w:val="Hyperlink"/>
            <w:rFonts w:cs="Times New Roman"/>
            <w:szCs w:val="24"/>
          </w:rPr>
          <w:t>https://doi.org/10.3390/su142416940</w:t>
        </w:r>
      </w:hyperlink>
    </w:p>
    <w:p w14:paraId="78B5B8FA" w14:textId="77777777" w:rsidR="00113229" w:rsidRPr="00113229" w:rsidRDefault="00113229" w:rsidP="00113229">
      <w:pPr>
        <w:ind w:left="720" w:hanging="720"/>
        <w:rPr>
          <w:rFonts w:cs="Times New Roman"/>
          <w:szCs w:val="24"/>
        </w:rPr>
      </w:pPr>
      <w:proofErr w:type="spellStart"/>
      <w:r w:rsidRPr="00113229">
        <w:rPr>
          <w:rFonts w:cs="Times New Roman"/>
          <w:szCs w:val="24"/>
        </w:rPr>
        <w:t>Zumente</w:t>
      </w:r>
      <w:proofErr w:type="spellEnd"/>
      <w:r w:rsidRPr="00113229">
        <w:rPr>
          <w:rFonts w:cs="Times New Roman"/>
          <w:szCs w:val="24"/>
        </w:rPr>
        <w:t xml:space="preserve">, I. and </w:t>
      </w:r>
      <w:proofErr w:type="spellStart"/>
      <w:r w:rsidRPr="00113229">
        <w:rPr>
          <w:rFonts w:cs="Times New Roman"/>
          <w:szCs w:val="24"/>
        </w:rPr>
        <w:t>Bistrova</w:t>
      </w:r>
      <w:proofErr w:type="spellEnd"/>
      <w:r w:rsidRPr="00113229">
        <w:rPr>
          <w:rFonts w:cs="Times New Roman"/>
          <w:szCs w:val="24"/>
        </w:rPr>
        <w:t xml:space="preserve">, J. (2021) ‘ESG importance for long-term shareholder value creation: literature vs practice’, </w:t>
      </w:r>
      <w:r w:rsidRPr="00113229">
        <w:rPr>
          <w:rFonts w:cs="Times New Roman"/>
          <w:i/>
          <w:iCs/>
          <w:szCs w:val="24"/>
        </w:rPr>
        <w:t>Journal of Open Innovation: Technology, Market, and Complexity</w:t>
      </w:r>
      <w:r w:rsidRPr="00113229">
        <w:rPr>
          <w:rFonts w:cs="Times New Roman"/>
          <w:szCs w:val="24"/>
        </w:rPr>
        <w:t xml:space="preserve">, 7(2), pp. 127–112. Available at: </w:t>
      </w:r>
      <w:hyperlink r:id="rId99" w:tgtFrame="_new" w:history="1">
        <w:r w:rsidRPr="00113229">
          <w:rPr>
            <w:rStyle w:val="Hyperlink"/>
            <w:rFonts w:cs="Times New Roman"/>
            <w:szCs w:val="24"/>
          </w:rPr>
          <w:t>https://doi.org/10.3390/joitmc7020127</w:t>
        </w:r>
      </w:hyperlink>
    </w:p>
    <w:p w14:paraId="45D93E47" w14:textId="77777777" w:rsidR="00121D93" w:rsidRPr="00121D93" w:rsidRDefault="00121D93" w:rsidP="00121D93">
      <w:pPr>
        <w:ind w:left="720" w:hanging="720"/>
        <w:rPr>
          <w:rFonts w:cs="Times New Roman"/>
          <w:szCs w:val="24"/>
        </w:rPr>
      </w:pPr>
    </w:p>
    <w:p w14:paraId="3A370BE0" w14:textId="77777777" w:rsidR="00121D93" w:rsidRPr="00121D93" w:rsidRDefault="00121D93" w:rsidP="00121D93">
      <w:pPr>
        <w:ind w:left="720" w:hanging="720"/>
        <w:rPr>
          <w:rFonts w:eastAsia="Times New Roman" w:cs="Times New Roman"/>
          <w:szCs w:val="24"/>
        </w:rPr>
      </w:pPr>
    </w:p>
    <w:p w14:paraId="17580C63" w14:textId="77777777" w:rsidR="003111E2" w:rsidRPr="003111E2" w:rsidRDefault="003111E2" w:rsidP="003111E2"/>
    <w:sectPr w:rsidR="003111E2" w:rsidRPr="003111E2" w:rsidSect="00AF6EE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2247A" w14:textId="77777777" w:rsidR="00545494" w:rsidRDefault="00545494" w:rsidP="00AF6EE8">
      <w:pPr>
        <w:spacing w:before="0" w:after="0" w:line="240" w:lineRule="auto"/>
      </w:pPr>
      <w:r>
        <w:separator/>
      </w:r>
    </w:p>
  </w:endnote>
  <w:endnote w:type="continuationSeparator" w:id="0">
    <w:p w14:paraId="0795C761" w14:textId="77777777" w:rsidR="00545494" w:rsidRDefault="00545494" w:rsidP="00AF6E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C675" w14:textId="33DA107C" w:rsidR="00AF6EE8" w:rsidRDefault="00AF6EE8" w:rsidP="00AF6EE8">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2BFB4" w14:textId="77777777" w:rsidR="00545494" w:rsidRDefault="00545494" w:rsidP="00AF6EE8">
      <w:pPr>
        <w:spacing w:before="0" w:after="0" w:line="240" w:lineRule="auto"/>
      </w:pPr>
      <w:r>
        <w:separator/>
      </w:r>
    </w:p>
  </w:footnote>
  <w:footnote w:type="continuationSeparator" w:id="0">
    <w:p w14:paraId="42A3A37D" w14:textId="77777777" w:rsidR="00545494" w:rsidRDefault="00545494" w:rsidP="00AF6EE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30E12"/>
    <w:multiLevelType w:val="multilevel"/>
    <w:tmpl w:val="0474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B501C"/>
    <w:multiLevelType w:val="hybridMultilevel"/>
    <w:tmpl w:val="F110846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A40022"/>
    <w:multiLevelType w:val="multilevel"/>
    <w:tmpl w:val="07F6BDB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E51A2B"/>
    <w:multiLevelType w:val="multilevel"/>
    <w:tmpl w:val="31AA8FD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C32313E"/>
    <w:multiLevelType w:val="hybridMultilevel"/>
    <w:tmpl w:val="BDAADD96"/>
    <w:lvl w:ilvl="0" w:tplc="612A1C38">
      <w:start w:val="1"/>
      <w:numFmt w:val="bullet"/>
      <w:lvlText w:val=""/>
      <w:lvlJc w:val="left"/>
      <w:pPr>
        <w:tabs>
          <w:tab w:val="num" w:pos="720"/>
        </w:tabs>
        <w:ind w:left="720" w:hanging="360"/>
      </w:pPr>
      <w:rPr>
        <w:rFonts w:ascii="Symbol" w:hAnsi="Symbol" w:hint="default"/>
      </w:rPr>
    </w:lvl>
    <w:lvl w:ilvl="1" w:tplc="11C4DA24" w:tentative="1">
      <w:start w:val="1"/>
      <w:numFmt w:val="bullet"/>
      <w:lvlText w:val=""/>
      <w:lvlJc w:val="left"/>
      <w:pPr>
        <w:tabs>
          <w:tab w:val="num" w:pos="1440"/>
        </w:tabs>
        <w:ind w:left="1440" w:hanging="360"/>
      </w:pPr>
      <w:rPr>
        <w:rFonts w:ascii="Symbol" w:hAnsi="Symbol" w:hint="default"/>
      </w:rPr>
    </w:lvl>
    <w:lvl w:ilvl="2" w:tplc="10C0E53E" w:tentative="1">
      <w:start w:val="1"/>
      <w:numFmt w:val="bullet"/>
      <w:lvlText w:val=""/>
      <w:lvlJc w:val="left"/>
      <w:pPr>
        <w:tabs>
          <w:tab w:val="num" w:pos="2160"/>
        </w:tabs>
        <w:ind w:left="2160" w:hanging="360"/>
      </w:pPr>
      <w:rPr>
        <w:rFonts w:ascii="Symbol" w:hAnsi="Symbol" w:hint="default"/>
      </w:rPr>
    </w:lvl>
    <w:lvl w:ilvl="3" w:tplc="3A6A7B3A" w:tentative="1">
      <w:start w:val="1"/>
      <w:numFmt w:val="bullet"/>
      <w:lvlText w:val=""/>
      <w:lvlJc w:val="left"/>
      <w:pPr>
        <w:tabs>
          <w:tab w:val="num" w:pos="2880"/>
        </w:tabs>
        <w:ind w:left="2880" w:hanging="360"/>
      </w:pPr>
      <w:rPr>
        <w:rFonts w:ascii="Symbol" w:hAnsi="Symbol" w:hint="default"/>
      </w:rPr>
    </w:lvl>
    <w:lvl w:ilvl="4" w:tplc="E0CEB914" w:tentative="1">
      <w:start w:val="1"/>
      <w:numFmt w:val="bullet"/>
      <w:lvlText w:val=""/>
      <w:lvlJc w:val="left"/>
      <w:pPr>
        <w:tabs>
          <w:tab w:val="num" w:pos="3600"/>
        </w:tabs>
        <w:ind w:left="3600" w:hanging="360"/>
      </w:pPr>
      <w:rPr>
        <w:rFonts w:ascii="Symbol" w:hAnsi="Symbol" w:hint="default"/>
      </w:rPr>
    </w:lvl>
    <w:lvl w:ilvl="5" w:tplc="A59026D6" w:tentative="1">
      <w:start w:val="1"/>
      <w:numFmt w:val="bullet"/>
      <w:lvlText w:val=""/>
      <w:lvlJc w:val="left"/>
      <w:pPr>
        <w:tabs>
          <w:tab w:val="num" w:pos="4320"/>
        </w:tabs>
        <w:ind w:left="4320" w:hanging="360"/>
      </w:pPr>
      <w:rPr>
        <w:rFonts w:ascii="Symbol" w:hAnsi="Symbol" w:hint="default"/>
      </w:rPr>
    </w:lvl>
    <w:lvl w:ilvl="6" w:tplc="68AE4626" w:tentative="1">
      <w:start w:val="1"/>
      <w:numFmt w:val="bullet"/>
      <w:lvlText w:val=""/>
      <w:lvlJc w:val="left"/>
      <w:pPr>
        <w:tabs>
          <w:tab w:val="num" w:pos="5040"/>
        </w:tabs>
        <w:ind w:left="5040" w:hanging="360"/>
      </w:pPr>
      <w:rPr>
        <w:rFonts w:ascii="Symbol" w:hAnsi="Symbol" w:hint="default"/>
      </w:rPr>
    </w:lvl>
    <w:lvl w:ilvl="7" w:tplc="B1A69E4C" w:tentative="1">
      <w:start w:val="1"/>
      <w:numFmt w:val="bullet"/>
      <w:lvlText w:val=""/>
      <w:lvlJc w:val="left"/>
      <w:pPr>
        <w:tabs>
          <w:tab w:val="num" w:pos="5760"/>
        </w:tabs>
        <w:ind w:left="5760" w:hanging="360"/>
      </w:pPr>
      <w:rPr>
        <w:rFonts w:ascii="Symbol" w:hAnsi="Symbol" w:hint="default"/>
      </w:rPr>
    </w:lvl>
    <w:lvl w:ilvl="8" w:tplc="59DA7BE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2DD0603"/>
    <w:multiLevelType w:val="hybridMultilevel"/>
    <w:tmpl w:val="81225BA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A96407F"/>
    <w:multiLevelType w:val="multilevel"/>
    <w:tmpl w:val="00D2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106E8B"/>
    <w:multiLevelType w:val="multilevel"/>
    <w:tmpl w:val="367ED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BD25EA"/>
    <w:multiLevelType w:val="hybridMultilevel"/>
    <w:tmpl w:val="7BD28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E72802"/>
    <w:multiLevelType w:val="hybridMultilevel"/>
    <w:tmpl w:val="12861E52"/>
    <w:lvl w:ilvl="0" w:tplc="AE02EE42">
      <w:start w:val="1"/>
      <w:numFmt w:val="bullet"/>
      <w:lvlText w:val=""/>
      <w:lvlJc w:val="left"/>
      <w:pPr>
        <w:tabs>
          <w:tab w:val="num" w:pos="720"/>
        </w:tabs>
        <w:ind w:left="720" w:hanging="360"/>
      </w:pPr>
      <w:rPr>
        <w:rFonts w:ascii="Symbol" w:hAnsi="Symbol" w:hint="default"/>
      </w:rPr>
    </w:lvl>
    <w:lvl w:ilvl="1" w:tplc="1FC64F1A" w:tentative="1">
      <w:start w:val="1"/>
      <w:numFmt w:val="bullet"/>
      <w:lvlText w:val=""/>
      <w:lvlJc w:val="left"/>
      <w:pPr>
        <w:tabs>
          <w:tab w:val="num" w:pos="1440"/>
        </w:tabs>
        <w:ind w:left="1440" w:hanging="360"/>
      </w:pPr>
      <w:rPr>
        <w:rFonts w:ascii="Symbol" w:hAnsi="Symbol" w:hint="default"/>
      </w:rPr>
    </w:lvl>
    <w:lvl w:ilvl="2" w:tplc="E64A5542" w:tentative="1">
      <w:start w:val="1"/>
      <w:numFmt w:val="bullet"/>
      <w:lvlText w:val=""/>
      <w:lvlJc w:val="left"/>
      <w:pPr>
        <w:tabs>
          <w:tab w:val="num" w:pos="2160"/>
        </w:tabs>
        <w:ind w:left="2160" w:hanging="360"/>
      </w:pPr>
      <w:rPr>
        <w:rFonts w:ascii="Symbol" w:hAnsi="Symbol" w:hint="default"/>
      </w:rPr>
    </w:lvl>
    <w:lvl w:ilvl="3" w:tplc="562C467C" w:tentative="1">
      <w:start w:val="1"/>
      <w:numFmt w:val="bullet"/>
      <w:lvlText w:val=""/>
      <w:lvlJc w:val="left"/>
      <w:pPr>
        <w:tabs>
          <w:tab w:val="num" w:pos="2880"/>
        </w:tabs>
        <w:ind w:left="2880" w:hanging="360"/>
      </w:pPr>
      <w:rPr>
        <w:rFonts w:ascii="Symbol" w:hAnsi="Symbol" w:hint="default"/>
      </w:rPr>
    </w:lvl>
    <w:lvl w:ilvl="4" w:tplc="5B30BC20" w:tentative="1">
      <w:start w:val="1"/>
      <w:numFmt w:val="bullet"/>
      <w:lvlText w:val=""/>
      <w:lvlJc w:val="left"/>
      <w:pPr>
        <w:tabs>
          <w:tab w:val="num" w:pos="3600"/>
        </w:tabs>
        <w:ind w:left="3600" w:hanging="360"/>
      </w:pPr>
      <w:rPr>
        <w:rFonts w:ascii="Symbol" w:hAnsi="Symbol" w:hint="default"/>
      </w:rPr>
    </w:lvl>
    <w:lvl w:ilvl="5" w:tplc="91AE57A8" w:tentative="1">
      <w:start w:val="1"/>
      <w:numFmt w:val="bullet"/>
      <w:lvlText w:val=""/>
      <w:lvlJc w:val="left"/>
      <w:pPr>
        <w:tabs>
          <w:tab w:val="num" w:pos="4320"/>
        </w:tabs>
        <w:ind w:left="4320" w:hanging="360"/>
      </w:pPr>
      <w:rPr>
        <w:rFonts w:ascii="Symbol" w:hAnsi="Symbol" w:hint="default"/>
      </w:rPr>
    </w:lvl>
    <w:lvl w:ilvl="6" w:tplc="21DE8D68" w:tentative="1">
      <w:start w:val="1"/>
      <w:numFmt w:val="bullet"/>
      <w:lvlText w:val=""/>
      <w:lvlJc w:val="left"/>
      <w:pPr>
        <w:tabs>
          <w:tab w:val="num" w:pos="5040"/>
        </w:tabs>
        <w:ind w:left="5040" w:hanging="360"/>
      </w:pPr>
      <w:rPr>
        <w:rFonts w:ascii="Symbol" w:hAnsi="Symbol" w:hint="default"/>
      </w:rPr>
    </w:lvl>
    <w:lvl w:ilvl="7" w:tplc="4BB25660" w:tentative="1">
      <w:start w:val="1"/>
      <w:numFmt w:val="bullet"/>
      <w:lvlText w:val=""/>
      <w:lvlJc w:val="left"/>
      <w:pPr>
        <w:tabs>
          <w:tab w:val="num" w:pos="5760"/>
        </w:tabs>
        <w:ind w:left="5760" w:hanging="360"/>
      </w:pPr>
      <w:rPr>
        <w:rFonts w:ascii="Symbol" w:hAnsi="Symbol" w:hint="default"/>
      </w:rPr>
    </w:lvl>
    <w:lvl w:ilvl="8" w:tplc="3778505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6162A30"/>
    <w:multiLevelType w:val="multilevel"/>
    <w:tmpl w:val="7CFE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7E45F1"/>
    <w:multiLevelType w:val="multilevel"/>
    <w:tmpl w:val="CCC064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B84084F"/>
    <w:multiLevelType w:val="hybridMultilevel"/>
    <w:tmpl w:val="E66A06D0"/>
    <w:lvl w:ilvl="0" w:tplc="D3B8E6E4">
      <w:start w:val="1"/>
      <w:numFmt w:val="bullet"/>
      <w:lvlText w:val=""/>
      <w:lvlJc w:val="left"/>
      <w:pPr>
        <w:tabs>
          <w:tab w:val="num" w:pos="720"/>
        </w:tabs>
        <w:ind w:left="720" w:hanging="360"/>
      </w:pPr>
      <w:rPr>
        <w:rFonts w:ascii="Symbol" w:hAnsi="Symbol" w:hint="default"/>
      </w:rPr>
    </w:lvl>
    <w:lvl w:ilvl="1" w:tplc="52089158" w:tentative="1">
      <w:start w:val="1"/>
      <w:numFmt w:val="bullet"/>
      <w:lvlText w:val=""/>
      <w:lvlJc w:val="left"/>
      <w:pPr>
        <w:tabs>
          <w:tab w:val="num" w:pos="1440"/>
        </w:tabs>
        <w:ind w:left="1440" w:hanging="360"/>
      </w:pPr>
      <w:rPr>
        <w:rFonts w:ascii="Symbol" w:hAnsi="Symbol" w:hint="default"/>
      </w:rPr>
    </w:lvl>
    <w:lvl w:ilvl="2" w:tplc="85663B5E" w:tentative="1">
      <w:start w:val="1"/>
      <w:numFmt w:val="bullet"/>
      <w:lvlText w:val=""/>
      <w:lvlJc w:val="left"/>
      <w:pPr>
        <w:tabs>
          <w:tab w:val="num" w:pos="2160"/>
        </w:tabs>
        <w:ind w:left="2160" w:hanging="360"/>
      </w:pPr>
      <w:rPr>
        <w:rFonts w:ascii="Symbol" w:hAnsi="Symbol" w:hint="default"/>
      </w:rPr>
    </w:lvl>
    <w:lvl w:ilvl="3" w:tplc="D6E8377E" w:tentative="1">
      <w:start w:val="1"/>
      <w:numFmt w:val="bullet"/>
      <w:lvlText w:val=""/>
      <w:lvlJc w:val="left"/>
      <w:pPr>
        <w:tabs>
          <w:tab w:val="num" w:pos="2880"/>
        </w:tabs>
        <w:ind w:left="2880" w:hanging="360"/>
      </w:pPr>
      <w:rPr>
        <w:rFonts w:ascii="Symbol" w:hAnsi="Symbol" w:hint="default"/>
      </w:rPr>
    </w:lvl>
    <w:lvl w:ilvl="4" w:tplc="5478D7BC" w:tentative="1">
      <w:start w:val="1"/>
      <w:numFmt w:val="bullet"/>
      <w:lvlText w:val=""/>
      <w:lvlJc w:val="left"/>
      <w:pPr>
        <w:tabs>
          <w:tab w:val="num" w:pos="3600"/>
        </w:tabs>
        <w:ind w:left="3600" w:hanging="360"/>
      </w:pPr>
      <w:rPr>
        <w:rFonts w:ascii="Symbol" w:hAnsi="Symbol" w:hint="default"/>
      </w:rPr>
    </w:lvl>
    <w:lvl w:ilvl="5" w:tplc="D4E25A0A" w:tentative="1">
      <w:start w:val="1"/>
      <w:numFmt w:val="bullet"/>
      <w:lvlText w:val=""/>
      <w:lvlJc w:val="left"/>
      <w:pPr>
        <w:tabs>
          <w:tab w:val="num" w:pos="4320"/>
        </w:tabs>
        <w:ind w:left="4320" w:hanging="360"/>
      </w:pPr>
      <w:rPr>
        <w:rFonts w:ascii="Symbol" w:hAnsi="Symbol" w:hint="default"/>
      </w:rPr>
    </w:lvl>
    <w:lvl w:ilvl="6" w:tplc="AF944632" w:tentative="1">
      <w:start w:val="1"/>
      <w:numFmt w:val="bullet"/>
      <w:lvlText w:val=""/>
      <w:lvlJc w:val="left"/>
      <w:pPr>
        <w:tabs>
          <w:tab w:val="num" w:pos="5040"/>
        </w:tabs>
        <w:ind w:left="5040" w:hanging="360"/>
      </w:pPr>
      <w:rPr>
        <w:rFonts w:ascii="Symbol" w:hAnsi="Symbol" w:hint="default"/>
      </w:rPr>
    </w:lvl>
    <w:lvl w:ilvl="7" w:tplc="7E5AA1D4" w:tentative="1">
      <w:start w:val="1"/>
      <w:numFmt w:val="bullet"/>
      <w:lvlText w:val=""/>
      <w:lvlJc w:val="left"/>
      <w:pPr>
        <w:tabs>
          <w:tab w:val="num" w:pos="5760"/>
        </w:tabs>
        <w:ind w:left="5760" w:hanging="360"/>
      </w:pPr>
      <w:rPr>
        <w:rFonts w:ascii="Symbol" w:hAnsi="Symbol" w:hint="default"/>
      </w:rPr>
    </w:lvl>
    <w:lvl w:ilvl="8" w:tplc="B244541C" w:tentative="1">
      <w:start w:val="1"/>
      <w:numFmt w:val="bullet"/>
      <w:lvlText w:val=""/>
      <w:lvlJc w:val="left"/>
      <w:pPr>
        <w:tabs>
          <w:tab w:val="num" w:pos="6480"/>
        </w:tabs>
        <w:ind w:left="6480" w:hanging="360"/>
      </w:pPr>
      <w:rPr>
        <w:rFonts w:ascii="Symbol" w:hAnsi="Symbol" w:hint="default"/>
      </w:rPr>
    </w:lvl>
  </w:abstractNum>
  <w:num w:numId="1" w16cid:durableId="1015376952">
    <w:abstractNumId w:val="0"/>
  </w:num>
  <w:num w:numId="2" w16cid:durableId="541210048">
    <w:abstractNumId w:val="10"/>
  </w:num>
  <w:num w:numId="3" w16cid:durableId="1034305139">
    <w:abstractNumId w:val="6"/>
  </w:num>
  <w:num w:numId="4" w16cid:durableId="699744532">
    <w:abstractNumId w:val="3"/>
  </w:num>
  <w:num w:numId="5" w16cid:durableId="1518422496">
    <w:abstractNumId w:val="11"/>
  </w:num>
  <w:num w:numId="6" w16cid:durableId="570964366">
    <w:abstractNumId w:val="5"/>
  </w:num>
  <w:num w:numId="7" w16cid:durableId="1150168113">
    <w:abstractNumId w:val="1"/>
  </w:num>
  <w:num w:numId="8" w16cid:durableId="1843667971">
    <w:abstractNumId w:val="7"/>
  </w:num>
  <w:num w:numId="9" w16cid:durableId="1181554498">
    <w:abstractNumId w:val="2"/>
  </w:num>
  <w:num w:numId="10" w16cid:durableId="1538423921">
    <w:abstractNumId w:val="8"/>
  </w:num>
  <w:num w:numId="11" w16cid:durableId="1750930782">
    <w:abstractNumId w:val="4"/>
  </w:num>
  <w:num w:numId="12" w16cid:durableId="246809335">
    <w:abstractNumId w:val="12"/>
  </w:num>
  <w:num w:numId="13" w16cid:durableId="16614278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EC"/>
    <w:rsid w:val="000159DD"/>
    <w:rsid w:val="00052917"/>
    <w:rsid w:val="00092FEC"/>
    <w:rsid w:val="000A74C3"/>
    <w:rsid w:val="000C7A0C"/>
    <w:rsid w:val="000E2827"/>
    <w:rsid w:val="000F5EBE"/>
    <w:rsid w:val="001014C3"/>
    <w:rsid w:val="00103028"/>
    <w:rsid w:val="0010631C"/>
    <w:rsid w:val="00113229"/>
    <w:rsid w:val="00121D93"/>
    <w:rsid w:val="00141920"/>
    <w:rsid w:val="0015008F"/>
    <w:rsid w:val="0015372E"/>
    <w:rsid w:val="0016668B"/>
    <w:rsid w:val="00172250"/>
    <w:rsid w:val="00175E3A"/>
    <w:rsid w:val="00184640"/>
    <w:rsid w:val="001C15BE"/>
    <w:rsid w:val="001D3DB2"/>
    <w:rsid w:val="002145F9"/>
    <w:rsid w:val="002228C9"/>
    <w:rsid w:val="002407A5"/>
    <w:rsid w:val="00273F90"/>
    <w:rsid w:val="002813FD"/>
    <w:rsid w:val="002A775D"/>
    <w:rsid w:val="002B4855"/>
    <w:rsid w:val="002D732A"/>
    <w:rsid w:val="002E4062"/>
    <w:rsid w:val="002E41A4"/>
    <w:rsid w:val="002F5D20"/>
    <w:rsid w:val="003111E2"/>
    <w:rsid w:val="00337530"/>
    <w:rsid w:val="003418D0"/>
    <w:rsid w:val="00344D45"/>
    <w:rsid w:val="00382CF1"/>
    <w:rsid w:val="00383722"/>
    <w:rsid w:val="003B0C82"/>
    <w:rsid w:val="003C7AEF"/>
    <w:rsid w:val="003D2A41"/>
    <w:rsid w:val="003D3234"/>
    <w:rsid w:val="003E0A54"/>
    <w:rsid w:val="003F17B5"/>
    <w:rsid w:val="003F7485"/>
    <w:rsid w:val="00424176"/>
    <w:rsid w:val="0042754D"/>
    <w:rsid w:val="004338D5"/>
    <w:rsid w:val="00433EA8"/>
    <w:rsid w:val="00436195"/>
    <w:rsid w:val="00452569"/>
    <w:rsid w:val="00453F06"/>
    <w:rsid w:val="00470124"/>
    <w:rsid w:val="00474B9D"/>
    <w:rsid w:val="004B3A43"/>
    <w:rsid w:val="004D6EAC"/>
    <w:rsid w:val="004F7F04"/>
    <w:rsid w:val="00500515"/>
    <w:rsid w:val="00510481"/>
    <w:rsid w:val="00513045"/>
    <w:rsid w:val="0052775B"/>
    <w:rsid w:val="00545494"/>
    <w:rsid w:val="00550023"/>
    <w:rsid w:val="0058138D"/>
    <w:rsid w:val="005A190B"/>
    <w:rsid w:val="005C6259"/>
    <w:rsid w:val="005F1404"/>
    <w:rsid w:val="005F2F6F"/>
    <w:rsid w:val="00600288"/>
    <w:rsid w:val="006007E1"/>
    <w:rsid w:val="00626858"/>
    <w:rsid w:val="0064181F"/>
    <w:rsid w:val="00655141"/>
    <w:rsid w:val="00673929"/>
    <w:rsid w:val="00676B4C"/>
    <w:rsid w:val="00676B69"/>
    <w:rsid w:val="006854CB"/>
    <w:rsid w:val="006C209F"/>
    <w:rsid w:val="006C6819"/>
    <w:rsid w:val="00707AE8"/>
    <w:rsid w:val="007106C4"/>
    <w:rsid w:val="007418C9"/>
    <w:rsid w:val="007446A4"/>
    <w:rsid w:val="0074700A"/>
    <w:rsid w:val="0076033F"/>
    <w:rsid w:val="00761D9C"/>
    <w:rsid w:val="00777795"/>
    <w:rsid w:val="00781CE4"/>
    <w:rsid w:val="007A221E"/>
    <w:rsid w:val="007A2EBB"/>
    <w:rsid w:val="007A7463"/>
    <w:rsid w:val="007B4CE2"/>
    <w:rsid w:val="007C4F5C"/>
    <w:rsid w:val="007C509C"/>
    <w:rsid w:val="007F243C"/>
    <w:rsid w:val="008100E3"/>
    <w:rsid w:val="00876E84"/>
    <w:rsid w:val="008A08D6"/>
    <w:rsid w:val="008C7C41"/>
    <w:rsid w:val="008E03D5"/>
    <w:rsid w:val="00904F7B"/>
    <w:rsid w:val="0091161D"/>
    <w:rsid w:val="00945371"/>
    <w:rsid w:val="009566FC"/>
    <w:rsid w:val="009621F0"/>
    <w:rsid w:val="0096246C"/>
    <w:rsid w:val="00980713"/>
    <w:rsid w:val="00994955"/>
    <w:rsid w:val="00994A67"/>
    <w:rsid w:val="009A431F"/>
    <w:rsid w:val="009B13EA"/>
    <w:rsid w:val="009C4773"/>
    <w:rsid w:val="009F07EF"/>
    <w:rsid w:val="009F6C87"/>
    <w:rsid w:val="00A443CF"/>
    <w:rsid w:val="00A45706"/>
    <w:rsid w:val="00A61A31"/>
    <w:rsid w:val="00A67146"/>
    <w:rsid w:val="00A67E6B"/>
    <w:rsid w:val="00A72659"/>
    <w:rsid w:val="00A87353"/>
    <w:rsid w:val="00AA5EFA"/>
    <w:rsid w:val="00AA6C94"/>
    <w:rsid w:val="00AD35D5"/>
    <w:rsid w:val="00AF6EE8"/>
    <w:rsid w:val="00B05D26"/>
    <w:rsid w:val="00B20C48"/>
    <w:rsid w:val="00B471D0"/>
    <w:rsid w:val="00B66A60"/>
    <w:rsid w:val="00B75AC4"/>
    <w:rsid w:val="00B82F23"/>
    <w:rsid w:val="00B8679E"/>
    <w:rsid w:val="00BB60E5"/>
    <w:rsid w:val="00BC0C53"/>
    <w:rsid w:val="00BE372C"/>
    <w:rsid w:val="00BF7FDB"/>
    <w:rsid w:val="00C04C07"/>
    <w:rsid w:val="00C46526"/>
    <w:rsid w:val="00C50B36"/>
    <w:rsid w:val="00C5251A"/>
    <w:rsid w:val="00C5404E"/>
    <w:rsid w:val="00C559FE"/>
    <w:rsid w:val="00C66296"/>
    <w:rsid w:val="00C70ADE"/>
    <w:rsid w:val="00C77B35"/>
    <w:rsid w:val="00CA2438"/>
    <w:rsid w:val="00CE1395"/>
    <w:rsid w:val="00CE65FD"/>
    <w:rsid w:val="00CF667B"/>
    <w:rsid w:val="00D01137"/>
    <w:rsid w:val="00D22B00"/>
    <w:rsid w:val="00D23E27"/>
    <w:rsid w:val="00D278ED"/>
    <w:rsid w:val="00D320EB"/>
    <w:rsid w:val="00D41541"/>
    <w:rsid w:val="00D5260A"/>
    <w:rsid w:val="00D75B40"/>
    <w:rsid w:val="00D80BDA"/>
    <w:rsid w:val="00D94A0E"/>
    <w:rsid w:val="00DA5DA5"/>
    <w:rsid w:val="00DB7659"/>
    <w:rsid w:val="00DB7A52"/>
    <w:rsid w:val="00DC57A5"/>
    <w:rsid w:val="00DC69EF"/>
    <w:rsid w:val="00DD114E"/>
    <w:rsid w:val="00DE74E8"/>
    <w:rsid w:val="00DF24F7"/>
    <w:rsid w:val="00DF6970"/>
    <w:rsid w:val="00E04B66"/>
    <w:rsid w:val="00E27BC2"/>
    <w:rsid w:val="00E51F28"/>
    <w:rsid w:val="00E539B5"/>
    <w:rsid w:val="00E77921"/>
    <w:rsid w:val="00E90EF0"/>
    <w:rsid w:val="00EB4265"/>
    <w:rsid w:val="00ED3829"/>
    <w:rsid w:val="00ED5819"/>
    <w:rsid w:val="00EE65E5"/>
    <w:rsid w:val="00EE68C3"/>
    <w:rsid w:val="00F176F3"/>
    <w:rsid w:val="00F4525D"/>
    <w:rsid w:val="00F46DAA"/>
    <w:rsid w:val="00F50A05"/>
    <w:rsid w:val="00F5583A"/>
    <w:rsid w:val="00F5663E"/>
    <w:rsid w:val="00F57E5F"/>
    <w:rsid w:val="00F60CBA"/>
    <w:rsid w:val="00F61582"/>
    <w:rsid w:val="00F677C0"/>
    <w:rsid w:val="00F94AEC"/>
    <w:rsid w:val="00FA3E23"/>
    <w:rsid w:val="00FB7CF7"/>
    <w:rsid w:val="00FE055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41D85"/>
  <w15:chartTrackingRefBased/>
  <w15:docId w15:val="{A7FC055A-9FD8-4421-BF4C-36AC59EAE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7A5"/>
    <w:pPr>
      <w:spacing w:before="120" w:after="120" w:line="360" w:lineRule="auto"/>
      <w:jc w:val="both"/>
    </w:pPr>
    <w:rPr>
      <w:rFonts w:ascii="Times New Roman" w:hAnsi="Times New Roman"/>
      <w:sz w:val="24"/>
      <w:lang w:val="en-GB"/>
    </w:rPr>
  </w:style>
  <w:style w:type="paragraph" w:styleId="Heading1">
    <w:name w:val="heading 1"/>
    <w:basedOn w:val="Normal"/>
    <w:next w:val="Normal"/>
    <w:link w:val="Heading1Char"/>
    <w:uiPriority w:val="9"/>
    <w:qFormat/>
    <w:rsid w:val="00DA5DA5"/>
    <w:pPr>
      <w:keepNext/>
      <w:keepLines/>
      <w:jc w:val="cente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DA5DA5"/>
    <w:pPr>
      <w:keepNext/>
      <w:keepLines/>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8100E3"/>
    <w:pPr>
      <w:keepNext/>
      <w:keepLines/>
      <w:outlineLvl w:val="2"/>
    </w:pPr>
    <w:rPr>
      <w:rFonts w:eastAsiaTheme="majorEastAsia" w:cstheme="majorBidi"/>
      <w:b/>
      <w:szCs w:val="28"/>
    </w:rPr>
  </w:style>
  <w:style w:type="paragraph" w:styleId="Heading4">
    <w:name w:val="heading 4"/>
    <w:basedOn w:val="Normal"/>
    <w:next w:val="Normal"/>
    <w:link w:val="Heading4Char"/>
    <w:uiPriority w:val="9"/>
    <w:qFormat/>
    <w:rsid w:val="00DD114E"/>
    <w:pPr>
      <w:keepNext/>
      <w:keepLines/>
      <w:outlineLvl w:val="3"/>
    </w:pPr>
    <w:rPr>
      <w:rFonts w:eastAsiaTheme="majorEastAsia" w:cstheme="majorBidi"/>
      <w:b/>
      <w:iCs/>
    </w:rPr>
  </w:style>
  <w:style w:type="paragraph" w:styleId="Heading5">
    <w:name w:val="heading 5"/>
    <w:basedOn w:val="Normal"/>
    <w:next w:val="Normal"/>
    <w:link w:val="Heading5Char"/>
    <w:uiPriority w:val="9"/>
    <w:qFormat/>
    <w:rsid w:val="00DC57A5"/>
    <w:pPr>
      <w:keepNext/>
      <w:keepLines/>
      <w:spacing w:before="80" w:after="4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F94A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A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A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A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DA5"/>
    <w:rPr>
      <w:rFonts w:ascii="Times New Roman" w:eastAsiaTheme="majorEastAsia" w:hAnsi="Times New Roman" w:cstheme="majorBidi"/>
      <w:b/>
      <w:sz w:val="24"/>
      <w:szCs w:val="40"/>
      <w:lang w:val="en-GB"/>
    </w:rPr>
  </w:style>
  <w:style w:type="character" w:customStyle="1" w:styleId="Heading2Char">
    <w:name w:val="Heading 2 Char"/>
    <w:basedOn w:val="DefaultParagraphFont"/>
    <w:link w:val="Heading2"/>
    <w:uiPriority w:val="9"/>
    <w:rsid w:val="00DA5DA5"/>
    <w:rPr>
      <w:rFonts w:ascii="Times New Roman" w:eastAsiaTheme="majorEastAsia" w:hAnsi="Times New Roman" w:cstheme="majorBidi"/>
      <w:b/>
      <w:sz w:val="24"/>
      <w:szCs w:val="32"/>
      <w:lang w:val="en-GB"/>
    </w:rPr>
  </w:style>
  <w:style w:type="character" w:customStyle="1" w:styleId="Heading3Char">
    <w:name w:val="Heading 3 Char"/>
    <w:basedOn w:val="DefaultParagraphFont"/>
    <w:link w:val="Heading3"/>
    <w:uiPriority w:val="9"/>
    <w:rsid w:val="008100E3"/>
    <w:rPr>
      <w:rFonts w:ascii="Times New Roman" w:eastAsiaTheme="majorEastAsia" w:hAnsi="Times New Roman" w:cstheme="majorBidi"/>
      <w:b/>
      <w:sz w:val="24"/>
      <w:szCs w:val="28"/>
      <w:lang w:val="en-GB"/>
    </w:rPr>
  </w:style>
  <w:style w:type="character" w:customStyle="1" w:styleId="Heading4Char">
    <w:name w:val="Heading 4 Char"/>
    <w:basedOn w:val="DefaultParagraphFont"/>
    <w:link w:val="Heading4"/>
    <w:uiPriority w:val="9"/>
    <w:rsid w:val="00DD114E"/>
    <w:rPr>
      <w:rFonts w:ascii="Times New Roman" w:eastAsiaTheme="majorEastAsia" w:hAnsi="Times New Roman" w:cstheme="majorBidi"/>
      <w:b/>
      <w:iCs/>
      <w:sz w:val="24"/>
      <w:lang w:val="en-GB"/>
    </w:rPr>
  </w:style>
  <w:style w:type="character" w:customStyle="1" w:styleId="Heading5Char">
    <w:name w:val="Heading 5 Char"/>
    <w:basedOn w:val="DefaultParagraphFont"/>
    <w:link w:val="Heading5"/>
    <w:uiPriority w:val="9"/>
    <w:rsid w:val="00DC57A5"/>
    <w:rPr>
      <w:rFonts w:ascii="Times New Roman" w:eastAsiaTheme="majorEastAsia" w:hAnsi="Times New Roman" w:cstheme="majorBidi"/>
      <w:b/>
      <w:sz w:val="24"/>
      <w:lang w:val="en-GB"/>
    </w:rPr>
  </w:style>
  <w:style w:type="character" w:customStyle="1" w:styleId="Heading6Char">
    <w:name w:val="Heading 6 Char"/>
    <w:basedOn w:val="DefaultParagraphFont"/>
    <w:link w:val="Heading6"/>
    <w:uiPriority w:val="9"/>
    <w:semiHidden/>
    <w:rsid w:val="00F94AE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94AE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94AE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94AE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94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AE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94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AE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94AEC"/>
    <w:pPr>
      <w:spacing w:before="160"/>
      <w:jc w:val="center"/>
    </w:pPr>
    <w:rPr>
      <w:i/>
      <w:iCs/>
      <w:color w:val="404040" w:themeColor="text1" w:themeTint="BF"/>
    </w:rPr>
  </w:style>
  <w:style w:type="character" w:customStyle="1" w:styleId="QuoteChar">
    <w:name w:val="Quote Char"/>
    <w:basedOn w:val="DefaultParagraphFont"/>
    <w:link w:val="Quote"/>
    <w:uiPriority w:val="29"/>
    <w:rsid w:val="00F94AEC"/>
    <w:rPr>
      <w:i/>
      <w:iCs/>
      <w:color w:val="404040" w:themeColor="text1" w:themeTint="BF"/>
      <w:lang w:val="en-GB"/>
    </w:rPr>
  </w:style>
  <w:style w:type="paragraph" w:styleId="ListParagraph">
    <w:name w:val="List Paragraph"/>
    <w:basedOn w:val="Normal"/>
    <w:uiPriority w:val="34"/>
    <w:qFormat/>
    <w:rsid w:val="00F94AEC"/>
    <w:pPr>
      <w:ind w:left="720"/>
      <w:contextualSpacing/>
    </w:pPr>
  </w:style>
  <w:style w:type="character" w:styleId="IntenseEmphasis">
    <w:name w:val="Intense Emphasis"/>
    <w:basedOn w:val="DefaultParagraphFont"/>
    <w:uiPriority w:val="21"/>
    <w:qFormat/>
    <w:rsid w:val="00F94AEC"/>
    <w:rPr>
      <w:i/>
      <w:iCs/>
      <w:color w:val="2F5496" w:themeColor="accent1" w:themeShade="BF"/>
    </w:rPr>
  </w:style>
  <w:style w:type="paragraph" w:styleId="IntenseQuote">
    <w:name w:val="Intense Quote"/>
    <w:basedOn w:val="Normal"/>
    <w:next w:val="Normal"/>
    <w:link w:val="IntenseQuoteChar"/>
    <w:uiPriority w:val="30"/>
    <w:qFormat/>
    <w:rsid w:val="00F94A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4AEC"/>
    <w:rPr>
      <w:i/>
      <w:iCs/>
      <w:color w:val="2F5496" w:themeColor="accent1" w:themeShade="BF"/>
      <w:lang w:val="en-GB"/>
    </w:rPr>
  </w:style>
  <w:style w:type="character" w:styleId="IntenseReference">
    <w:name w:val="Intense Reference"/>
    <w:basedOn w:val="DefaultParagraphFont"/>
    <w:uiPriority w:val="32"/>
    <w:qFormat/>
    <w:rsid w:val="00F94AEC"/>
    <w:rPr>
      <w:b/>
      <w:bCs/>
      <w:smallCaps/>
      <w:color w:val="2F5496" w:themeColor="accent1" w:themeShade="BF"/>
      <w:spacing w:val="5"/>
    </w:rPr>
  </w:style>
  <w:style w:type="paragraph" w:styleId="NormalWeb">
    <w:name w:val="Normal (Web)"/>
    <w:basedOn w:val="Normal"/>
    <w:uiPriority w:val="99"/>
    <w:semiHidden/>
    <w:unhideWhenUsed/>
    <w:rsid w:val="003111E2"/>
    <w:pPr>
      <w:spacing w:before="100" w:beforeAutospacing="1" w:after="100" w:afterAutospacing="1" w:line="240" w:lineRule="auto"/>
      <w:jc w:val="left"/>
    </w:pPr>
    <w:rPr>
      <w:rFonts w:eastAsia="Times New Roman" w:cs="Times New Roman"/>
      <w:szCs w:val="24"/>
      <w:lang w:eastAsia="en-GB"/>
    </w:rPr>
  </w:style>
  <w:style w:type="table" w:styleId="TableGrid">
    <w:name w:val="Table Grid"/>
    <w:basedOn w:val="TableNormal"/>
    <w:uiPriority w:val="39"/>
    <w:rsid w:val="00341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4062"/>
    <w:rPr>
      <w:color w:val="666666"/>
    </w:rPr>
  </w:style>
  <w:style w:type="character" w:styleId="Hyperlink">
    <w:name w:val="Hyperlink"/>
    <w:basedOn w:val="DefaultParagraphFont"/>
    <w:uiPriority w:val="99"/>
    <w:unhideWhenUsed/>
    <w:rsid w:val="00DB7A52"/>
    <w:rPr>
      <w:color w:val="0563C1" w:themeColor="hyperlink"/>
      <w:u w:val="single"/>
    </w:rPr>
  </w:style>
  <w:style w:type="character" w:styleId="UnresolvedMention">
    <w:name w:val="Unresolved Mention"/>
    <w:basedOn w:val="DefaultParagraphFont"/>
    <w:uiPriority w:val="99"/>
    <w:semiHidden/>
    <w:unhideWhenUsed/>
    <w:rsid w:val="00DB7A52"/>
    <w:rPr>
      <w:color w:val="605E5C"/>
      <w:shd w:val="clear" w:color="auto" w:fill="E1DFDD"/>
    </w:rPr>
  </w:style>
  <w:style w:type="paragraph" w:styleId="TableofFigures">
    <w:name w:val="table of figures"/>
    <w:basedOn w:val="Normal"/>
    <w:next w:val="Normal"/>
    <w:uiPriority w:val="99"/>
    <w:unhideWhenUsed/>
    <w:rsid w:val="00AF6EE8"/>
    <w:pPr>
      <w:spacing w:after="0"/>
    </w:pPr>
  </w:style>
  <w:style w:type="paragraph" w:styleId="TOCHeading">
    <w:name w:val="TOC Heading"/>
    <w:basedOn w:val="Heading1"/>
    <w:next w:val="Normal"/>
    <w:uiPriority w:val="39"/>
    <w:unhideWhenUsed/>
    <w:qFormat/>
    <w:rsid w:val="00AF6EE8"/>
    <w:pPr>
      <w:spacing w:before="240" w:after="0" w:line="259" w:lineRule="auto"/>
      <w:jc w:val="left"/>
      <w:outlineLvl w:val="9"/>
    </w:pPr>
    <w:rPr>
      <w:rFonts w:asciiTheme="majorHAnsi" w:hAnsiTheme="majorHAnsi"/>
      <w:b w:val="0"/>
      <w:color w:val="2F5496" w:themeColor="accent1" w:themeShade="BF"/>
      <w:sz w:val="32"/>
      <w:szCs w:val="32"/>
      <w:lang w:val="en-US"/>
    </w:rPr>
  </w:style>
  <w:style w:type="paragraph" w:styleId="TOC1">
    <w:name w:val="toc 1"/>
    <w:basedOn w:val="Normal"/>
    <w:next w:val="Normal"/>
    <w:autoRedefine/>
    <w:uiPriority w:val="39"/>
    <w:unhideWhenUsed/>
    <w:rsid w:val="00AF6EE8"/>
    <w:pPr>
      <w:tabs>
        <w:tab w:val="right" w:leader="dot" w:pos="9016"/>
      </w:tabs>
      <w:spacing w:after="100"/>
    </w:pPr>
    <w:rPr>
      <w:b/>
      <w:bCs/>
      <w:noProof/>
    </w:rPr>
  </w:style>
  <w:style w:type="paragraph" w:styleId="TOC2">
    <w:name w:val="toc 2"/>
    <w:basedOn w:val="Normal"/>
    <w:next w:val="Normal"/>
    <w:autoRedefine/>
    <w:uiPriority w:val="39"/>
    <w:unhideWhenUsed/>
    <w:rsid w:val="00AF6EE8"/>
    <w:pPr>
      <w:spacing w:after="100"/>
      <w:ind w:left="240"/>
    </w:pPr>
  </w:style>
  <w:style w:type="paragraph" w:styleId="TOC3">
    <w:name w:val="toc 3"/>
    <w:basedOn w:val="Normal"/>
    <w:next w:val="Normal"/>
    <w:autoRedefine/>
    <w:uiPriority w:val="39"/>
    <w:unhideWhenUsed/>
    <w:rsid w:val="00AF6EE8"/>
    <w:pPr>
      <w:spacing w:after="100"/>
      <w:ind w:left="480"/>
    </w:pPr>
  </w:style>
  <w:style w:type="paragraph" w:styleId="Header">
    <w:name w:val="header"/>
    <w:basedOn w:val="Normal"/>
    <w:link w:val="HeaderChar"/>
    <w:uiPriority w:val="99"/>
    <w:unhideWhenUsed/>
    <w:rsid w:val="00AF6EE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F6EE8"/>
    <w:rPr>
      <w:rFonts w:ascii="Times New Roman" w:hAnsi="Times New Roman"/>
      <w:sz w:val="24"/>
      <w:lang w:val="en-GB"/>
    </w:rPr>
  </w:style>
  <w:style w:type="paragraph" w:styleId="Footer">
    <w:name w:val="footer"/>
    <w:basedOn w:val="Normal"/>
    <w:link w:val="FooterChar"/>
    <w:uiPriority w:val="99"/>
    <w:unhideWhenUsed/>
    <w:rsid w:val="00AF6EE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F6EE8"/>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bir.2022.11.006" TargetMode="External"/><Relationship Id="rId21" Type="http://schemas.openxmlformats.org/officeDocument/2006/relationships/hyperlink" Target="https://doi.org/10.2139/ssrn.1961971" TargetMode="External"/><Relationship Id="rId34" Type="http://schemas.openxmlformats.org/officeDocument/2006/relationships/hyperlink" Target="https://doi.org/10.1002/csr.1704" TargetMode="External"/><Relationship Id="rId42" Type="http://schemas.openxmlformats.org/officeDocument/2006/relationships/hyperlink" Target="https://doi.org/10.1007/s10551-019-04177-w" TargetMode="External"/><Relationship Id="rId47" Type="http://schemas.openxmlformats.org/officeDocument/2006/relationships/hyperlink" Target="https://doi.org/10.1080/20430795.2015.1118917" TargetMode="External"/><Relationship Id="rId50" Type="http://schemas.openxmlformats.org/officeDocument/2006/relationships/hyperlink" Target="https://doi.org/10.1016/j.jclepro.2017.02" TargetMode="External"/><Relationship Id="rId55" Type="http://schemas.openxmlformats.org/officeDocument/2006/relationships/hyperlink" Target="https://doi.org/10.1002/1097-0266(200101)22:2" TargetMode="External"/><Relationship Id="rId63" Type="http://schemas.openxmlformats.org/officeDocument/2006/relationships/hyperlink" Target="https://doi.org/10.1111/j.1475-679X.2007.00238.x" TargetMode="External"/><Relationship Id="rId68" Type="http://schemas.openxmlformats.org/officeDocument/2006/relationships/hyperlink" Target="https://doi.org/10.1111/jofi.12487" TargetMode="External"/><Relationship Id="rId76" Type="http://schemas.openxmlformats.org/officeDocument/2006/relationships/hyperlink" Target="https://www.nse.co.ke" TargetMode="External"/><Relationship Id="rId84" Type="http://schemas.openxmlformats.org/officeDocument/2006/relationships/hyperlink" Target="https://doi.org/10.1002/csr.2940" TargetMode="External"/><Relationship Id="rId89" Type="http://schemas.openxmlformats.org/officeDocument/2006/relationships/hyperlink" Target="https://doi.org/10.2307/1882010" TargetMode="External"/><Relationship Id="rId97" Type="http://schemas.openxmlformats.org/officeDocument/2006/relationships/hyperlink" Target="https://www.worldbank.org" TargetMode="External"/><Relationship Id="rId7" Type="http://schemas.openxmlformats.org/officeDocument/2006/relationships/endnotes" Target="endnotes.xml"/><Relationship Id="rId71" Type="http://schemas.openxmlformats.org/officeDocument/2006/relationships/hyperlink" Target="https://doi.org/10.1002/(SICI)1097-0266(200005)21:5" TargetMode="External"/><Relationship Id="rId92" Type="http://schemas.openxmlformats.org/officeDocument/2006/relationships/hyperlink" Target="https://doi.org/10.1371/journal.pone.0321076" TargetMode="Externa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hyperlink" Target="https://doi.org/10.1016/j.jcorpfin.2008.02.001" TargetMode="External"/><Relationship Id="rId11" Type="http://schemas.openxmlformats.org/officeDocument/2006/relationships/image" Target="media/image3.png"/><Relationship Id="rId24" Type="http://schemas.openxmlformats.org/officeDocument/2006/relationships/hyperlink" Target="https://doi.org/10.2469/faj.v74.n3.2" TargetMode="External"/><Relationship Id="rId32" Type="http://schemas.openxmlformats.org/officeDocument/2006/relationships/hyperlink" Target="https://doi.org/10.1111/j.1755-053X.2006.tb00149.x" TargetMode="External"/><Relationship Id="rId37" Type="http://schemas.openxmlformats.org/officeDocument/2006/relationships/hyperlink" Target="https://doi.org/10.1108/JAEE-04-2022-0107" TargetMode="External"/><Relationship Id="rId40" Type="http://schemas.openxmlformats.org/officeDocument/2006/relationships/hyperlink" Target="https://doi.org/10.1111/j.1540-6261.1991.tb04620.x" TargetMode="External"/><Relationship Id="rId45" Type="http://schemas.openxmlformats.org/officeDocument/2006/relationships/hyperlink" Target="https://doi.org/10.3390/atmos13020240" TargetMode="External"/><Relationship Id="rId53" Type="http://schemas.openxmlformats.org/officeDocument/2006/relationships/hyperlink" Target="https://doi.org/10.1016/j.jcorpfin.2021.101889" TargetMode="External"/><Relationship Id="rId58" Type="http://schemas.openxmlformats.org/officeDocument/2006/relationships/hyperlink" Target="https://www.qqml-journal.net/index.php/qqml/article/view/169" TargetMode="External"/><Relationship Id="rId66" Type="http://schemas.openxmlformats.org/officeDocument/2006/relationships/hyperlink" Target="https://doi.org/10.3389/frsus.2024.1454822" TargetMode="External"/><Relationship Id="rId74" Type="http://schemas.openxmlformats.org/officeDocument/2006/relationships/hyperlink" Target="https://doi.org/10.3390/jrfm17080326" TargetMode="External"/><Relationship Id="rId79" Type="http://schemas.openxmlformats.org/officeDocument/2006/relationships/hyperlink" Target="https://doi.org/10.1016/j.econmod.2015.09.019" TargetMode="External"/><Relationship Id="rId87" Type="http://schemas.openxmlformats.org/officeDocument/2006/relationships/hyperlink" Target="https://doi.org/10.1080/0015198X.2020.1723390" TargetMode="External"/><Relationship Id="rId5" Type="http://schemas.openxmlformats.org/officeDocument/2006/relationships/webSettings" Target="webSettings.xml"/><Relationship Id="rId61" Type="http://schemas.openxmlformats.org/officeDocument/2006/relationships/hyperlink" Target="https://doi.org/10.1108/jaoc-03-2024-0090" TargetMode="External"/><Relationship Id="rId82" Type="http://schemas.openxmlformats.org/officeDocument/2006/relationships/hyperlink" Target="https://doi.org/10.1177/0170840603024003910" TargetMode="External"/><Relationship Id="rId90" Type="http://schemas.openxmlformats.org/officeDocument/2006/relationships/hyperlink" Target="https://doi.org/10.3934/GF.2022009" TargetMode="External"/><Relationship Id="rId95" Type="http://schemas.openxmlformats.org/officeDocument/2006/relationships/hyperlink" Target="https://www.stern.nyu.edu/sites/default/files/assets/documents/ESG%20Paper.pdf" TargetMode="External"/><Relationship Id="rId19" Type="http://schemas.openxmlformats.org/officeDocument/2006/relationships/hyperlink" Target="https://doi.org/10.1007/s10668-021-01649-w" TargetMode="External"/><Relationship Id="rId14" Type="http://schemas.openxmlformats.org/officeDocument/2006/relationships/image" Target="media/image6.png"/><Relationship Id="rId22" Type="http://schemas.openxmlformats.org/officeDocument/2006/relationships/hyperlink" Target="https://doi.org/10.1287/mnsc.2018.3043" TargetMode="External"/><Relationship Id="rId27" Type="http://schemas.openxmlformats.org/officeDocument/2006/relationships/hyperlink" Target="https://doi.org/10.1007/s10551-010-0496-z" TargetMode="External"/><Relationship Id="rId30" Type="http://schemas.openxmlformats.org/officeDocument/2006/relationships/hyperlink" Target="https://doi.org/10.1002/bse.4152" TargetMode="External"/><Relationship Id="rId35" Type="http://schemas.openxmlformats.org/officeDocument/2006/relationships/hyperlink" Target="https://www.ceicdata.com/en/indicator/kenya/stock-market-capitalization" TargetMode="External"/><Relationship Id="rId43" Type="http://schemas.openxmlformats.org/officeDocument/2006/relationships/hyperlink" Target="https://hbr.org/2019/05/the-investor-revolution" TargetMode="External"/><Relationship Id="rId48" Type="http://schemas.openxmlformats.org/officeDocument/2006/relationships/hyperlink" Target="https://www.nytimes.com/1970/09/13/archives/a-friedman-doctrine-the-social-responsibility-of-business-is-to.html" TargetMode="External"/><Relationship Id="rId56" Type="http://schemas.openxmlformats.org/officeDocument/2006/relationships/hyperlink" Target="https://doi.org/10.2307/3857812" TargetMode="External"/><Relationship Id="rId64" Type="http://schemas.openxmlformats.org/officeDocument/2006/relationships/hyperlink" Target="https://doi.org/10.1108/SRJ-11-2017-0254" TargetMode="External"/><Relationship Id="rId69" Type="http://schemas.openxmlformats.org/officeDocument/2006/relationships/hyperlink" Target="https://doi.org/10.2139/ssrn.2196941" TargetMode="External"/><Relationship Id="rId77" Type="http://schemas.openxmlformats.org/officeDocument/2006/relationships/hyperlink" Target="https://doi.org/10.1007/s40847-023-00267-8" TargetMode="External"/><Relationship Id="rId100"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doi.org/10.1108/jal-08-2023-0143" TargetMode="External"/><Relationship Id="rId72" Type="http://schemas.openxmlformats.org/officeDocument/2006/relationships/hyperlink" Target="https://doi.org/10.1016/j.irfa.2024.103190" TargetMode="External"/><Relationship Id="rId80" Type="http://schemas.openxmlformats.org/officeDocument/2006/relationships/hyperlink" Target="https://doi.org/10.1080/23311975.2023.2207685" TargetMode="External"/><Relationship Id="rId85" Type="http://schemas.openxmlformats.org/officeDocument/2006/relationships/hyperlink" Target="https://doi.org/10.2307/3003485" TargetMode="External"/><Relationship Id="rId93" Type="http://schemas.openxmlformats.org/officeDocument/2006/relationships/hyperlink" Target="https://unctad.org/system/files/official-document/wir2021_en.pdf" TargetMode="External"/><Relationship Id="rId98" Type="http://schemas.openxmlformats.org/officeDocument/2006/relationships/hyperlink" Target="https://doi.org/10.3390/su142416940"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doi.org/10.1108/MEQ-03-2017-0033" TargetMode="External"/><Relationship Id="rId33" Type="http://schemas.openxmlformats.org/officeDocument/2006/relationships/hyperlink" Target="https://doi.org/10.1016/j.frl.2020.101716" TargetMode="External"/><Relationship Id="rId38" Type="http://schemas.openxmlformats.org/officeDocument/2006/relationships/hyperlink" Target="https://doi.org/10.1177/0149206310388419" TargetMode="External"/><Relationship Id="rId46" Type="http://schemas.openxmlformats.org/officeDocument/2006/relationships/hyperlink" Target="https://doi.org/10.1080/20430795.2020.1782814" TargetMode="External"/><Relationship Id="rId59" Type="http://schemas.openxmlformats.org/officeDocument/2006/relationships/hyperlink" Target="https://doi.org/10.1080/23311975.2024.2333941" TargetMode="External"/><Relationship Id="rId67" Type="http://schemas.openxmlformats.org/officeDocument/2006/relationships/hyperlink" Target="https://doi.org/10.3390/su132111663" TargetMode="External"/><Relationship Id="rId20" Type="http://schemas.openxmlformats.org/officeDocument/2006/relationships/hyperlink" Target="https://doi.org/10.1080/23311975.2021.1900500" TargetMode="External"/><Relationship Id="rId41" Type="http://schemas.openxmlformats.org/officeDocument/2006/relationships/hyperlink" Target="https://doi.org/10.2307/258887" TargetMode="External"/><Relationship Id="rId54" Type="http://schemas.openxmlformats.org/officeDocument/2006/relationships/hyperlink" Target="https://doi.org/10.1162/00335530360535162" TargetMode="External"/><Relationship Id="rId62" Type="http://schemas.openxmlformats.org/officeDocument/2006/relationships/hyperlink" Target="https://doi.org/10.1111/1540-6261.00457" TargetMode="External"/><Relationship Id="rId70" Type="http://schemas.openxmlformats.org/officeDocument/2006/relationships/hyperlink" Target="https://doi.org/10.4102/sajems.v27i1.5387" TargetMode="External"/><Relationship Id="rId75" Type="http://schemas.openxmlformats.org/officeDocument/2006/relationships/hyperlink" Target="https://doi.org/10.1108/JFRA-02-2021-0046" TargetMode="External"/><Relationship Id="rId83" Type="http://schemas.openxmlformats.org/officeDocument/2006/relationships/hyperlink" Target="https://hbr.org/2011/01/the-big-idea-creating-shared-value" TargetMode="External"/><Relationship Id="rId88" Type="http://schemas.openxmlformats.org/officeDocument/2006/relationships/hyperlink" Target="https://doi.org/10.1002/smj.678" TargetMode="External"/><Relationship Id="rId91" Type="http://schemas.openxmlformats.org/officeDocument/2006/relationships/hyperlink" Target="https://doi.org/10.1016/j.iref.2024.103530" TargetMode="External"/><Relationship Id="rId96" Type="http://schemas.openxmlformats.org/officeDocument/2006/relationships/hyperlink" Target="https://doi.org/10.1016/j.frl.2020.10159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doi.org/10.3390/su10020494" TargetMode="External"/><Relationship Id="rId28" Type="http://schemas.openxmlformats.org/officeDocument/2006/relationships/hyperlink" Target="https://doi.org/10.1016/j.jfineco.2019.10.006" TargetMode="External"/><Relationship Id="rId36" Type="http://schemas.openxmlformats.org/officeDocument/2006/relationships/hyperlink" Target="https://doi.org/10.1080/10293523.2023.2218124" TargetMode="External"/><Relationship Id="rId49" Type="http://schemas.openxmlformats.org/officeDocument/2006/relationships/hyperlink" Target="https://doi.org/10.1002/bse.2570" TargetMode="External"/><Relationship Id="rId57" Type="http://schemas.openxmlformats.org/officeDocument/2006/relationships/hyperlink" Target="https://doi.org/10.1016/0304-405X(76)90026-X" TargetMode="External"/><Relationship Id="rId10" Type="http://schemas.openxmlformats.org/officeDocument/2006/relationships/image" Target="media/image2.png"/><Relationship Id="rId31" Type="http://schemas.openxmlformats.org/officeDocument/2006/relationships/hyperlink" Target="https://doi.org/10.1016/j.ememar.2020.100796" TargetMode="External"/><Relationship Id="rId44" Type="http://schemas.openxmlformats.org/officeDocument/2006/relationships/hyperlink" Target="https://doi.org/10.1016/j.jbankfin.2011.02.007" TargetMode="External"/><Relationship Id="rId52" Type="http://schemas.openxmlformats.org/officeDocument/2006/relationships/hyperlink" Target="https://doi.org/10.3905/jpm.2021.1.227" TargetMode="External"/><Relationship Id="rId60" Type="http://schemas.openxmlformats.org/officeDocument/2006/relationships/hyperlink" Target="https://doi.org/10.3390/jrfm18050247" TargetMode="External"/><Relationship Id="rId65" Type="http://schemas.openxmlformats.org/officeDocument/2006/relationships/hyperlink" Target="https://doi.org/10.21315/aamjaf2020.16.1.1" TargetMode="External"/><Relationship Id="rId73" Type="http://schemas.openxmlformats.org/officeDocument/2006/relationships/hyperlink" Target="https://www.jstor.org/stable/1809766" TargetMode="External"/><Relationship Id="rId78" Type="http://schemas.openxmlformats.org/officeDocument/2006/relationships/hyperlink" Target="https://doi.org/10.5897/AJBM" TargetMode="External"/><Relationship Id="rId81" Type="http://schemas.openxmlformats.org/officeDocument/2006/relationships/hyperlink" Target="https://doi.org/10.1080/20430795.2025.xxxxxx" TargetMode="External"/><Relationship Id="rId86" Type="http://schemas.openxmlformats.org/officeDocument/2006/relationships/hyperlink" Target="https://doi.org/10.7748/nr.2018.e1466" TargetMode="External"/><Relationship Id="rId94" Type="http://schemas.openxmlformats.org/officeDocument/2006/relationships/hyperlink" Target="https://doi.org/10.1108/JGR-11-2016-0029" TargetMode="External"/><Relationship Id="rId99" Type="http://schemas.openxmlformats.org/officeDocument/2006/relationships/hyperlink" Target="https://doi.org/10.3390/joitmc7020127" TargetMode="Externa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hyperlink" Target="https://doi.org/10.1177/09711023241264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B2F22-EDC7-4D7D-8D0E-3348D9531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20577</Words>
  <Characters>117294</Characters>
  <Application>Microsoft Office Word</Application>
  <DocSecurity>0</DocSecurity>
  <Lines>977</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2026-04-17T13:40:00Z</dcterms:created>
  <dcterms:modified xsi:type="dcterms:W3CDTF">2026-04-17T13:40:00Z</dcterms:modified>
</cp:coreProperties>
</file>